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6AA" w:rsidRDefault="003D39C9">
      <w:pPr>
        <w:pStyle w:val="af"/>
        <w:rPr>
          <w:rFonts w:eastAsia="宋体"/>
          <w:sz w:val="24"/>
          <w:szCs w:val="24"/>
          <w:lang w:val="en-US" w:eastAsia="zh-CN"/>
        </w:rPr>
      </w:pPr>
      <w:bookmarkStart w:id="0" w:name="_Toc193024528"/>
      <w:r>
        <w:rPr>
          <w:sz w:val="24"/>
          <w:szCs w:val="24"/>
        </w:rPr>
        <w:t>3GPP TSG-RAN WG2 Meeting #1</w:t>
      </w:r>
      <w:r>
        <w:rPr>
          <w:rFonts w:eastAsia="宋体" w:hint="eastAsia"/>
          <w:sz w:val="24"/>
          <w:szCs w:val="24"/>
          <w:lang w:val="en-US" w:eastAsia="zh-CN"/>
        </w:rPr>
        <w:t>2</w:t>
      </w:r>
      <w:r>
        <w:rPr>
          <w:rFonts w:eastAsia="宋体"/>
          <w:sz w:val="24"/>
          <w:szCs w:val="24"/>
          <w:lang w:val="en-US" w:eastAsia="zh-CN"/>
        </w:rPr>
        <w:t>1</w:t>
      </w:r>
      <w:r>
        <w:rPr>
          <w:rFonts w:eastAsia="宋体" w:hint="eastAsia"/>
          <w:sz w:val="24"/>
          <w:szCs w:val="24"/>
          <w:lang w:val="en-US" w:eastAsia="zh-CN"/>
        </w:rPr>
        <w:t xml:space="preserve">                       </w:t>
      </w:r>
      <w:r>
        <w:rPr>
          <w:rFonts w:eastAsia="宋体" w:hint="eastAsia"/>
          <w:sz w:val="24"/>
          <w:szCs w:val="24"/>
          <w:lang w:eastAsia="zh-CN"/>
        </w:rPr>
        <w:t xml:space="preserve">                                        </w:t>
      </w:r>
      <w:r>
        <w:rPr>
          <w:sz w:val="24"/>
          <w:szCs w:val="24"/>
        </w:rPr>
        <w:t>R2-</w:t>
      </w:r>
      <w:r>
        <w:rPr>
          <w:rFonts w:eastAsia="宋体" w:hint="eastAsia"/>
          <w:sz w:val="24"/>
          <w:szCs w:val="24"/>
          <w:lang w:val="en-US" w:eastAsia="zh-CN"/>
        </w:rPr>
        <w:t>2</w:t>
      </w:r>
      <w:r w:rsidR="004D0887">
        <w:rPr>
          <w:rFonts w:eastAsia="宋体"/>
          <w:sz w:val="24"/>
          <w:szCs w:val="24"/>
          <w:lang w:val="en-US" w:eastAsia="zh-CN"/>
        </w:rPr>
        <w:t>301079</w:t>
      </w:r>
    </w:p>
    <w:p w:rsidR="008506AA" w:rsidRDefault="003D39C9">
      <w:pPr>
        <w:overflowPunct w:val="0"/>
        <w:autoSpaceDE w:val="0"/>
        <w:jc w:val="both"/>
        <w:textAlignment w:val="baseline"/>
        <w:rPr>
          <w:rFonts w:ascii="Arial" w:hAnsi="Arial" w:cs="Arial"/>
          <w:b/>
          <w:bCs/>
          <w:sz w:val="24"/>
          <w:szCs w:val="24"/>
          <w:lang w:val="en-US" w:eastAsia="zh-CN"/>
        </w:rPr>
      </w:pPr>
      <w:r>
        <w:rPr>
          <w:rFonts w:ascii="Arial" w:eastAsia="Calibri" w:hAnsi="Arial" w:cs="Arial"/>
          <w:b/>
          <w:bCs/>
          <w:sz w:val="24"/>
          <w:szCs w:val="24"/>
        </w:rPr>
        <w:t>27</w:t>
      </w:r>
      <w:r>
        <w:rPr>
          <w:rFonts w:ascii="Arial" w:eastAsia="Calibri" w:hAnsi="Arial" w:cs="Arial"/>
          <w:b/>
          <w:bCs/>
          <w:sz w:val="24"/>
          <w:szCs w:val="24"/>
          <w:vertAlign w:val="superscript"/>
        </w:rPr>
        <w:t>th</w:t>
      </w:r>
      <w:r>
        <w:rPr>
          <w:rFonts w:ascii="Arial" w:eastAsia="Calibri" w:hAnsi="Arial" w:cs="Arial"/>
          <w:b/>
          <w:bCs/>
          <w:sz w:val="24"/>
          <w:szCs w:val="24"/>
        </w:rPr>
        <w:t xml:space="preserve"> February– 3</w:t>
      </w:r>
      <w:r>
        <w:rPr>
          <w:rFonts w:ascii="Arial" w:eastAsia="Calibri" w:hAnsi="Arial" w:cs="Arial"/>
          <w:b/>
          <w:bCs/>
          <w:sz w:val="24"/>
          <w:szCs w:val="24"/>
          <w:vertAlign w:val="superscript"/>
        </w:rPr>
        <w:t>th</w:t>
      </w:r>
      <w:r>
        <w:rPr>
          <w:rFonts w:ascii="Arial" w:eastAsia="Calibri" w:hAnsi="Arial" w:cs="Arial"/>
          <w:b/>
          <w:bCs/>
          <w:sz w:val="24"/>
          <w:szCs w:val="24"/>
        </w:rPr>
        <w:t xml:space="preserve"> March 2023</w:t>
      </w:r>
      <w:r>
        <w:rPr>
          <w:rFonts w:ascii="Arial" w:hAnsi="Arial" w:cs="Arial" w:hint="eastAsia"/>
          <w:b/>
          <w:bCs/>
          <w:sz w:val="24"/>
          <w:szCs w:val="24"/>
          <w:lang w:val="en-US" w:eastAsia="zh-CN"/>
        </w:rPr>
        <w:t xml:space="preserve"> </w:t>
      </w:r>
    </w:p>
    <w:p w:rsidR="008506AA" w:rsidRDefault="004D0887">
      <w:pPr>
        <w:pStyle w:val="af"/>
        <w:tabs>
          <w:tab w:val="left" w:pos="1701"/>
          <w:tab w:val="right" w:pos="9923"/>
        </w:tabs>
        <w:rPr>
          <w:sz w:val="24"/>
          <w:szCs w:val="24"/>
        </w:rPr>
      </w:pPr>
      <w:r w:rsidRPr="00023DF0">
        <w:rPr>
          <w:rFonts w:eastAsia="Calibri" w:cs="Arial"/>
          <w:bCs/>
          <w:sz w:val="24"/>
          <w:szCs w:val="24"/>
        </w:rPr>
        <w:t>Athens, Greece</w:t>
      </w:r>
    </w:p>
    <w:p w:rsidR="008506AA" w:rsidRDefault="008506AA">
      <w:pPr>
        <w:pStyle w:val="ae"/>
        <w:jc w:val="both"/>
        <w:rPr>
          <w:rFonts w:eastAsia="宋体"/>
          <w:b w:val="0"/>
          <w:i w:val="0"/>
          <w:sz w:val="24"/>
          <w:lang w:eastAsia="zh-CN"/>
        </w:rPr>
      </w:pPr>
    </w:p>
    <w:p w:rsidR="008506AA" w:rsidRDefault="003D39C9">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ascii="Arial" w:hAnsi="Arial"/>
          <w:b/>
          <w:sz w:val="24"/>
          <w:lang w:val="en-US" w:eastAsia="zh-CN"/>
        </w:rPr>
        <w:t>Discussion on TAC and RNAC configuration of mobile IAB node</w:t>
      </w:r>
    </w:p>
    <w:p w:rsidR="008506AA" w:rsidRDefault="003D39C9">
      <w:pPr>
        <w:tabs>
          <w:tab w:val="left" w:pos="1985"/>
        </w:tabs>
        <w:jc w:val="both"/>
        <w:rPr>
          <w:rStyle w:val="aff"/>
          <w:b/>
          <w:lang w:val="en-US" w:eastAsia="zh-CN"/>
        </w:rPr>
      </w:pPr>
      <w:r>
        <w:rPr>
          <w:rFonts w:ascii="Arial" w:hAnsi="Arial"/>
          <w:b/>
          <w:sz w:val="24"/>
          <w:lang w:val="fr-FR"/>
        </w:rPr>
        <w:t xml:space="preserve">Source: </w:t>
      </w:r>
      <w:r>
        <w:rPr>
          <w:rFonts w:ascii="Arial" w:hAnsi="Arial"/>
          <w:b/>
          <w:sz w:val="24"/>
          <w:lang w:val="fr-FR"/>
        </w:rPr>
        <w:tab/>
      </w:r>
      <w:r>
        <w:rPr>
          <w:rStyle w:val="aff"/>
          <w:rFonts w:hint="eastAsia"/>
          <w:b/>
          <w:lang w:val="fr-FR"/>
        </w:rPr>
        <w:t>ZTE</w:t>
      </w:r>
      <w:r>
        <w:rPr>
          <w:rStyle w:val="aff"/>
          <w:rFonts w:hint="eastAsia"/>
          <w:b/>
          <w:lang w:val="en-US" w:eastAsia="zh-CN"/>
        </w:rPr>
        <w:t xml:space="preserve">, </w:t>
      </w:r>
      <w:proofErr w:type="spellStart"/>
      <w:r>
        <w:rPr>
          <w:rStyle w:val="aff"/>
          <w:rFonts w:hint="eastAsia"/>
          <w:b/>
          <w:lang w:val="en-US" w:eastAsia="zh-CN"/>
        </w:rPr>
        <w:t>Sanechips</w:t>
      </w:r>
      <w:proofErr w:type="spellEnd"/>
    </w:p>
    <w:p w:rsidR="008506AA" w:rsidRDefault="003D39C9">
      <w:pPr>
        <w:tabs>
          <w:tab w:val="left" w:pos="1985"/>
        </w:tabs>
        <w:jc w:val="both"/>
        <w:rPr>
          <w:rStyle w:val="aff"/>
          <w:b/>
          <w:lang w:val="en-US" w:eastAsia="zh-CN"/>
        </w:rPr>
      </w:pPr>
      <w:r>
        <w:rPr>
          <w:rFonts w:ascii="Arial" w:hAnsi="Arial"/>
          <w:b/>
          <w:sz w:val="24"/>
          <w:lang w:val="pt-BR"/>
        </w:rPr>
        <w:t>Agenda item:</w:t>
      </w:r>
      <w:r>
        <w:rPr>
          <w:rFonts w:ascii="Arial" w:hAnsi="Arial"/>
          <w:b/>
          <w:sz w:val="24"/>
          <w:lang w:val="pt-BR"/>
        </w:rPr>
        <w:tab/>
      </w:r>
      <w:r>
        <w:rPr>
          <w:rFonts w:ascii="Arial" w:hAnsi="Arial" w:hint="eastAsia"/>
          <w:b/>
          <w:sz w:val="24"/>
          <w:lang w:val="en-US" w:eastAsia="zh-CN"/>
        </w:rPr>
        <w:t>8</w:t>
      </w:r>
      <w:r>
        <w:rPr>
          <w:rFonts w:ascii="Arial" w:hAnsi="Arial"/>
          <w:b/>
          <w:sz w:val="24"/>
          <w:lang w:val="pt-BR" w:eastAsia="zh-CN"/>
        </w:rPr>
        <w:t>.</w:t>
      </w:r>
      <w:r>
        <w:rPr>
          <w:rFonts w:ascii="Arial" w:hAnsi="Arial" w:hint="eastAsia"/>
          <w:b/>
          <w:sz w:val="24"/>
          <w:lang w:val="en-US" w:eastAsia="zh-CN"/>
        </w:rPr>
        <w:t>12</w:t>
      </w:r>
      <w:r>
        <w:rPr>
          <w:rFonts w:ascii="Arial" w:hAnsi="Arial"/>
          <w:b/>
          <w:sz w:val="24"/>
          <w:lang w:val="pt-BR" w:eastAsia="zh-CN"/>
        </w:rPr>
        <w:t>.</w:t>
      </w:r>
      <w:r>
        <w:rPr>
          <w:rFonts w:ascii="Arial" w:hAnsi="Arial" w:hint="eastAsia"/>
          <w:b/>
          <w:sz w:val="24"/>
          <w:lang w:val="en-US" w:eastAsia="zh-CN"/>
        </w:rPr>
        <w:t>2</w:t>
      </w:r>
    </w:p>
    <w:p w:rsidR="008506AA" w:rsidRDefault="003D39C9">
      <w:pPr>
        <w:tabs>
          <w:tab w:val="left" w:pos="1985"/>
        </w:tabs>
        <w:ind w:left="1980" w:hanging="1980"/>
        <w:jc w:val="both"/>
        <w:rPr>
          <w:rStyle w:val="aff"/>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Approval</w:t>
      </w:r>
    </w:p>
    <w:p w:rsidR="008506AA" w:rsidRDefault="003D39C9">
      <w:pPr>
        <w:pStyle w:val="1"/>
        <w:jc w:val="both"/>
        <w:rPr>
          <w:rFonts w:eastAsia="宋体"/>
          <w:lang w:eastAsia="zh-CN"/>
        </w:rPr>
      </w:pPr>
      <w:r>
        <w:rPr>
          <w:rFonts w:eastAsia="宋体" w:hint="eastAsia"/>
          <w:lang w:eastAsia="zh-CN"/>
        </w:rPr>
        <w:t>Introduction</w:t>
      </w:r>
    </w:p>
    <w:p w:rsidR="008506AA" w:rsidRDefault="003D39C9">
      <w:pPr>
        <w:spacing w:beforeLines="50" w:before="156"/>
        <w:jc w:val="both"/>
        <w:rPr>
          <w:lang w:val="en-US" w:eastAsia="zh-CN"/>
        </w:rPr>
      </w:pPr>
      <w:r>
        <w:rPr>
          <w:rFonts w:hint="eastAsia"/>
          <w:lang w:val="en-US" w:eastAsia="zh-CN"/>
        </w:rPr>
        <w:t>During RAN2#1</w:t>
      </w:r>
      <w:r>
        <w:rPr>
          <w:lang w:val="en-US" w:eastAsia="zh-CN"/>
        </w:rPr>
        <w:t>20</w:t>
      </w:r>
      <w:r>
        <w:rPr>
          <w:rFonts w:hint="eastAsia"/>
          <w:lang w:val="en-US" w:eastAsia="zh-CN"/>
        </w:rPr>
        <w:t xml:space="preserve"> meeting, </w:t>
      </w:r>
      <w:r w:rsidR="004D0887" w:rsidRPr="004D0887">
        <w:rPr>
          <w:lang w:val="en-US" w:eastAsia="zh-CN"/>
        </w:rPr>
        <w:t>RAN2 has a brief discussion on TAC/RNAC</w:t>
      </w:r>
      <w:r w:rsidR="004D0887">
        <w:rPr>
          <w:lang w:val="en-US" w:eastAsia="zh-CN"/>
        </w:rPr>
        <w:t xml:space="preserve">. </w:t>
      </w:r>
      <w:r w:rsidR="002E2C6A">
        <w:rPr>
          <w:lang w:val="en-US" w:eastAsia="zh-CN"/>
        </w:rPr>
        <w:t>S</w:t>
      </w:r>
      <w:r w:rsidR="004D0887">
        <w:rPr>
          <w:lang w:val="en-US" w:eastAsia="zh-CN"/>
        </w:rPr>
        <w:t>ome companies reported the progress of RAN3 on TAC</w:t>
      </w:r>
      <w:r w:rsidR="002E2C6A">
        <w:rPr>
          <w:lang w:val="en-US" w:eastAsia="zh-CN"/>
        </w:rPr>
        <w:t xml:space="preserve"> and proposed to wait for the LS from RAN3</w:t>
      </w:r>
      <w:r w:rsidR="004D0887">
        <w:rPr>
          <w:lang w:val="en-US" w:eastAsia="zh-CN"/>
        </w:rPr>
        <w:t xml:space="preserve">. So chairman made a decision that </w:t>
      </w:r>
      <w:r w:rsidR="00496B30">
        <w:rPr>
          <w:lang w:val="en-US" w:eastAsia="zh-CN"/>
        </w:rPr>
        <w:t xml:space="preserve">RAN2 could treat this topic at next meeting. </w:t>
      </w:r>
      <w:r w:rsidR="00A30298">
        <w:rPr>
          <w:lang w:val="en-US" w:eastAsia="zh-CN"/>
        </w:rPr>
        <w:t>In this paper, we will analyze the impacts of the dynamic TAC solution and then g</w:t>
      </w:r>
      <w:r w:rsidR="00A30298" w:rsidRPr="00A30298">
        <w:rPr>
          <w:lang w:val="en-US" w:eastAsia="zh-CN"/>
        </w:rPr>
        <w:t xml:space="preserve">ive our analysis </w:t>
      </w:r>
      <w:r w:rsidR="00A00714">
        <w:rPr>
          <w:lang w:val="en-US" w:eastAsia="zh-CN"/>
        </w:rPr>
        <w:t xml:space="preserve">on </w:t>
      </w:r>
      <w:r w:rsidR="00A30298" w:rsidRPr="00A30298">
        <w:rPr>
          <w:lang w:val="en-US" w:eastAsia="zh-CN"/>
        </w:rPr>
        <w:t>RNA</w:t>
      </w:r>
      <w:r w:rsidR="00511D4E">
        <w:rPr>
          <w:lang w:val="en-US" w:eastAsia="zh-CN"/>
        </w:rPr>
        <w:t xml:space="preserve"> configuration</w:t>
      </w:r>
      <w:r w:rsidR="00A30298">
        <w:rPr>
          <w:lang w:val="en-US" w:eastAsia="zh-CN"/>
        </w:rPr>
        <w:t>.</w:t>
      </w:r>
    </w:p>
    <w:p w:rsidR="008506AA" w:rsidRDefault="003D39C9">
      <w:pPr>
        <w:pStyle w:val="1"/>
        <w:jc w:val="both"/>
        <w:rPr>
          <w:lang w:eastAsia="zh-CN"/>
        </w:rPr>
      </w:pPr>
      <w:r>
        <w:rPr>
          <w:rFonts w:eastAsia="宋体" w:hint="eastAsia"/>
          <w:lang w:eastAsia="zh-CN"/>
        </w:rPr>
        <w:t>Discussion</w:t>
      </w:r>
    </w:p>
    <w:p w:rsidR="008506AA" w:rsidRDefault="003D39C9">
      <w:pPr>
        <w:pStyle w:val="2"/>
        <w:ind w:left="200" w:right="200"/>
        <w:rPr>
          <w:lang w:val="en-US" w:eastAsia="zh-CN"/>
        </w:rPr>
      </w:pPr>
      <w:r>
        <w:rPr>
          <w:rFonts w:hint="eastAsia"/>
          <w:lang w:val="en-US" w:eastAsia="zh-CN"/>
        </w:rPr>
        <w:t>TA configuration</w:t>
      </w:r>
    </w:p>
    <w:p w:rsidR="008506AA" w:rsidRDefault="003D39C9">
      <w:pPr>
        <w:overflowPunct w:val="0"/>
        <w:autoSpaceDE w:val="0"/>
        <w:autoSpaceDN w:val="0"/>
        <w:adjustRightInd w:val="0"/>
        <w:spacing w:beforeLines="50" w:before="156"/>
        <w:jc w:val="both"/>
        <w:rPr>
          <w:lang w:val="en-US" w:eastAsia="zh-CN"/>
        </w:rPr>
      </w:pPr>
      <w:r>
        <w:rPr>
          <w:lang w:val="en-US" w:eastAsia="zh-CN"/>
        </w:rPr>
        <w:t xml:space="preserve">As per </w:t>
      </w:r>
      <w:r>
        <w:rPr>
          <w:rFonts w:hint="eastAsia"/>
          <w:lang w:val="en-US" w:eastAsia="zh-CN"/>
        </w:rPr>
        <w:t>L</w:t>
      </w:r>
      <w:r>
        <w:rPr>
          <w:lang w:val="en-US" w:eastAsia="zh-CN"/>
        </w:rPr>
        <w:t>S</w:t>
      </w:r>
      <w:r>
        <w:rPr>
          <w:rFonts w:hint="eastAsia"/>
          <w:lang w:val="en-US" w:eastAsia="zh-CN"/>
        </w:rPr>
        <w:t xml:space="preserve"> </w:t>
      </w:r>
      <w:r>
        <w:rPr>
          <w:lang w:val="en-US" w:eastAsia="zh-CN"/>
        </w:rPr>
        <w:t>from RAN3 R3-226831, RAN3 assumes that dynamic TAC solution should be supported and static TAC solution is not pursued.</w:t>
      </w:r>
    </w:p>
    <w:tbl>
      <w:tblPr>
        <w:tblStyle w:val="af4"/>
        <w:tblW w:w="0" w:type="auto"/>
        <w:tblLook w:val="04A0" w:firstRow="1" w:lastRow="0" w:firstColumn="1" w:lastColumn="0" w:noHBand="0" w:noVBand="1"/>
      </w:tblPr>
      <w:tblGrid>
        <w:gridCol w:w="9631"/>
      </w:tblGrid>
      <w:tr w:rsidR="008506AA">
        <w:tc>
          <w:tcPr>
            <w:tcW w:w="9631" w:type="dxa"/>
          </w:tcPr>
          <w:p w:rsidR="008506AA" w:rsidRDefault="003D39C9">
            <w:pPr>
              <w:spacing w:after="120"/>
              <w:outlineLvl w:val="0"/>
              <w:rPr>
                <w:rFonts w:ascii="Arial" w:hAnsi="Arial" w:cs="Arial"/>
                <w:bCs/>
                <w:lang w:val="en-US" w:eastAsia="zh-CN"/>
              </w:rPr>
            </w:pPr>
            <w:r>
              <w:rPr>
                <w:rFonts w:ascii="Arial" w:hAnsi="Arial" w:cs="Arial" w:hint="eastAsia"/>
                <w:bCs/>
                <w:lang w:val="en-US" w:eastAsia="zh-CN"/>
              </w:rPr>
              <w:t xml:space="preserve">RAN3 discussed static and dynamic TAC solutions for mobile IAB and </w:t>
            </w:r>
            <w:r>
              <w:rPr>
                <w:rFonts w:ascii="Arial" w:hAnsi="Arial" w:cs="Arial"/>
                <w:bCs/>
                <w:lang w:val="en-US" w:eastAsia="zh-CN"/>
              </w:rPr>
              <w:t>achieved</w:t>
            </w:r>
            <w:r>
              <w:rPr>
                <w:rFonts w:ascii="Arial" w:hAnsi="Arial" w:cs="Arial" w:hint="eastAsia"/>
                <w:bCs/>
                <w:lang w:val="en-US" w:eastAsia="zh-CN"/>
              </w:rPr>
              <w:t xml:space="preserve"> the following agreement. </w:t>
            </w:r>
          </w:p>
          <w:tbl>
            <w:tblPr>
              <w:tblStyle w:val="af4"/>
              <w:tblW w:w="0" w:type="auto"/>
              <w:tblLook w:val="04A0" w:firstRow="1" w:lastRow="0" w:firstColumn="1" w:lastColumn="0" w:noHBand="0" w:noVBand="1"/>
            </w:tblPr>
            <w:tblGrid>
              <w:gridCol w:w="9405"/>
            </w:tblGrid>
            <w:tr w:rsidR="008506AA">
              <w:tc>
                <w:tcPr>
                  <w:tcW w:w="9631" w:type="dxa"/>
                </w:tcPr>
                <w:p w:rsidR="008506AA" w:rsidRDefault="003D39C9">
                  <w:pPr>
                    <w:widowControl w:val="0"/>
                    <w:rPr>
                      <w:rFonts w:ascii="Calibri" w:hAnsi="Calibri" w:cs="Calibri"/>
                      <w:b/>
                      <w:bCs/>
                      <w:color w:val="008000"/>
                      <w:sz w:val="18"/>
                      <w:szCs w:val="18"/>
                    </w:rPr>
                  </w:pPr>
                  <w:r>
                    <w:rPr>
                      <w:rFonts w:ascii="Calibri" w:hAnsi="Calibri" w:cs="Calibri"/>
                      <w:b/>
                      <w:bCs/>
                      <w:color w:val="008000"/>
                      <w:sz w:val="18"/>
                      <w:szCs w:val="18"/>
                    </w:rPr>
                    <w:t xml:space="preserve">Static TAC solution is not pursued. </w:t>
                  </w:r>
                </w:p>
                <w:p w:rsidR="008506AA" w:rsidRDefault="003D39C9">
                  <w:pPr>
                    <w:widowControl w:val="0"/>
                    <w:rPr>
                      <w:rFonts w:ascii="Arial" w:hAnsi="Arial" w:cs="Arial"/>
                      <w:b/>
                      <w:lang w:val="en-US" w:eastAsia="zh-CN"/>
                    </w:rPr>
                  </w:pPr>
                  <w:r>
                    <w:rPr>
                      <w:rFonts w:ascii="Calibri" w:hAnsi="Calibri" w:cs="Calibri"/>
                      <w:b/>
                      <w:bCs/>
                      <w:color w:val="008000"/>
                      <w:sz w:val="18"/>
                      <w:szCs w:val="18"/>
                    </w:rPr>
                    <w:t xml:space="preserve">RAN3 assumes that dynamic TAC solution should be supported. </w:t>
                  </w:r>
                </w:p>
              </w:tc>
            </w:tr>
          </w:tbl>
          <w:p w:rsidR="008506AA" w:rsidRDefault="008506AA">
            <w:pPr>
              <w:spacing w:after="120"/>
              <w:outlineLvl w:val="0"/>
              <w:rPr>
                <w:rFonts w:ascii="Arial" w:hAnsi="Arial" w:cs="Arial"/>
                <w:bCs/>
              </w:rPr>
            </w:pPr>
          </w:p>
          <w:p w:rsidR="008506AA" w:rsidRDefault="003D39C9">
            <w:pPr>
              <w:overflowPunct w:val="0"/>
              <w:autoSpaceDE w:val="0"/>
              <w:autoSpaceDN w:val="0"/>
              <w:adjustRightInd w:val="0"/>
              <w:spacing w:beforeLines="50" w:before="156"/>
              <w:jc w:val="both"/>
              <w:rPr>
                <w:lang w:val="en-US" w:eastAsia="zh-CN"/>
              </w:rPr>
            </w:pPr>
            <w:r>
              <w:rPr>
                <w:rFonts w:ascii="Arial" w:hAnsi="Arial" w:cs="Arial" w:hint="eastAsia"/>
                <w:bCs/>
                <w:lang w:val="en-US" w:eastAsia="zh-CN"/>
              </w:rPr>
              <w:t xml:space="preserve">RAN3 will </w:t>
            </w:r>
            <w:r>
              <w:rPr>
                <w:rFonts w:ascii="Arial" w:hAnsi="Arial" w:cs="Arial"/>
                <w:bCs/>
                <w:lang w:val="en-US" w:eastAsia="zh-CN"/>
              </w:rPr>
              <w:t>further study the</w:t>
            </w:r>
            <w:r>
              <w:rPr>
                <w:rFonts w:ascii="Arial" w:hAnsi="Arial" w:cs="Arial"/>
                <w:bCs/>
              </w:rPr>
              <w:t xml:space="preserve"> impacts (if any) of the dynamic TAC solution on RAN3 spec</w:t>
            </w:r>
            <w:proofErr w:type="spellStart"/>
            <w:r>
              <w:rPr>
                <w:rFonts w:ascii="Arial" w:hAnsi="Arial" w:cs="Arial" w:hint="eastAsia"/>
                <w:bCs/>
                <w:lang w:val="en-US" w:eastAsia="zh-CN"/>
              </w:rPr>
              <w:t>ification</w:t>
            </w:r>
            <w:r>
              <w:rPr>
                <w:rFonts w:ascii="Arial" w:hAnsi="Arial" w:cs="Arial"/>
                <w:bCs/>
                <w:lang w:val="en-US" w:eastAsia="zh-CN"/>
              </w:rPr>
              <w:t>s</w:t>
            </w:r>
            <w:proofErr w:type="spellEnd"/>
            <w:r>
              <w:rPr>
                <w:rFonts w:ascii="Arial" w:hAnsi="Arial" w:cs="Arial" w:hint="eastAsia"/>
                <w:bCs/>
                <w:lang w:val="en-US" w:eastAsia="zh-CN"/>
              </w:rPr>
              <w:t>.</w:t>
            </w:r>
          </w:p>
        </w:tc>
      </w:tr>
    </w:tbl>
    <w:p w:rsidR="00587AAA" w:rsidRDefault="00587AAA" w:rsidP="00587AAA">
      <w:pPr>
        <w:overflowPunct w:val="0"/>
        <w:autoSpaceDE w:val="0"/>
        <w:autoSpaceDN w:val="0"/>
        <w:adjustRightInd w:val="0"/>
        <w:spacing w:beforeLines="50" w:before="156"/>
        <w:jc w:val="both"/>
        <w:rPr>
          <w:lang w:val="en-US" w:eastAsia="zh-CN"/>
        </w:rPr>
      </w:pPr>
      <w:r>
        <w:rPr>
          <w:lang w:val="en-US" w:eastAsia="zh-CN"/>
        </w:rPr>
        <w:t>First</w:t>
      </w:r>
      <w:r>
        <w:rPr>
          <w:rFonts w:hint="eastAsia"/>
          <w:lang w:val="en-US" w:eastAsia="zh-CN"/>
        </w:rPr>
        <w:t>ly</w:t>
      </w:r>
      <w:r>
        <w:rPr>
          <w:lang w:val="en-US" w:eastAsia="zh-CN"/>
        </w:rPr>
        <w:t xml:space="preserve"> we need to consider when and how to configure the changed TAC value of the mobile IAB node and then analyze the corresponding specification impact. In our opinion, TAC update of mobile IAB node may occur when the mobile IAB-node perform intra-</w:t>
      </w:r>
      <w:proofErr w:type="spellStart"/>
      <w:r>
        <w:rPr>
          <w:lang w:val="en-US" w:eastAsia="zh-CN"/>
        </w:rPr>
        <w:t>gNB</w:t>
      </w:r>
      <w:proofErr w:type="spellEnd"/>
      <w:r>
        <w:rPr>
          <w:lang w:val="en-US" w:eastAsia="zh-CN"/>
        </w:rPr>
        <w:t xml:space="preserve"> partial migration or inter-</w:t>
      </w:r>
      <w:proofErr w:type="spellStart"/>
      <w:r>
        <w:rPr>
          <w:lang w:val="en-US" w:eastAsia="zh-CN"/>
        </w:rPr>
        <w:t>gNB</w:t>
      </w:r>
      <w:proofErr w:type="spellEnd"/>
      <w:r>
        <w:rPr>
          <w:lang w:val="en-US" w:eastAsia="zh-CN"/>
        </w:rPr>
        <w:t xml:space="preserve"> partial migration or full migration. </w:t>
      </w:r>
    </w:p>
    <w:p w:rsidR="00587AAA" w:rsidRDefault="00587AAA" w:rsidP="00587AAA">
      <w:pPr>
        <w:pStyle w:val="afd"/>
        <w:numPr>
          <w:ilvl w:val="0"/>
          <w:numId w:val="13"/>
        </w:numPr>
        <w:overflowPunct w:val="0"/>
        <w:autoSpaceDE w:val="0"/>
        <w:autoSpaceDN w:val="0"/>
        <w:adjustRightInd w:val="0"/>
        <w:spacing w:beforeLines="50" w:before="156"/>
        <w:ind w:firstLineChars="0"/>
        <w:jc w:val="both"/>
      </w:pPr>
      <w:r>
        <w:t>Intra-</w:t>
      </w:r>
      <w:proofErr w:type="spellStart"/>
      <w:r>
        <w:t>gNB</w:t>
      </w:r>
      <w:proofErr w:type="spellEnd"/>
      <w:r>
        <w:t xml:space="preserve"> partial migration</w:t>
      </w:r>
    </w:p>
    <w:p w:rsidR="00587AAA" w:rsidRDefault="00587AAA" w:rsidP="00587AAA">
      <w:pPr>
        <w:jc w:val="both"/>
        <w:rPr>
          <w:lang w:val="en-US" w:eastAsia="zh-CN"/>
        </w:rPr>
      </w:pPr>
      <w:r>
        <w:rPr>
          <w:lang w:val="en-US" w:eastAsia="zh-CN"/>
        </w:rPr>
        <w:t>When the mobile IAB</w:t>
      </w:r>
      <w:r>
        <w:rPr>
          <w:rFonts w:hint="eastAsia"/>
          <w:lang w:val="en-US" w:eastAsia="zh-CN"/>
        </w:rPr>
        <w:t xml:space="preserve"> </w:t>
      </w:r>
      <w:r>
        <w:rPr>
          <w:lang w:val="en-US" w:eastAsia="zh-CN"/>
        </w:rPr>
        <w:t>node perform intra-</w:t>
      </w:r>
      <w:proofErr w:type="spellStart"/>
      <w:r>
        <w:rPr>
          <w:lang w:val="en-US" w:eastAsia="zh-CN"/>
        </w:rPr>
        <w:t>gNB</w:t>
      </w:r>
      <w:proofErr w:type="spellEnd"/>
      <w:r>
        <w:rPr>
          <w:lang w:val="en-US" w:eastAsia="zh-CN"/>
        </w:rPr>
        <w:t xml:space="preserve"> migration, </w:t>
      </w:r>
      <w:proofErr w:type="spellStart"/>
      <w:r>
        <w:rPr>
          <w:lang w:val="en-US" w:eastAsia="zh-CN"/>
        </w:rPr>
        <w:t>gNB</w:t>
      </w:r>
      <w:proofErr w:type="spellEnd"/>
      <w:r>
        <w:rPr>
          <w:lang w:val="en-US" w:eastAsia="zh-CN"/>
        </w:rPr>
        <w:t xml:space="preserve"> can determine whether it needs to configure a new TAC value for the mobile IAB node by comparing the TAC value broadcast in the source parent cell’s SIB and the TAC value broadcast in the target parent cell’s SIB. To be specific, if the TAC value in the SIB of the source parent cell is same as the TAC value in the SIB of the target parent cell, </w:t>
      </w:r>
      <w:proofErr w:type="spellStart"/>
      <w:r>
        <w:rPr>
          <w:lang w:val="en-US" w:eastAsia="zh-CN"/>
        </w:rPr>
        <w:t>gNB</w:t>
      </w:r>
      <w:proofErr w:type="spellEnd"/>
      <w:r>
        <w:rPr>
          <w:lang w:val="en-US" w:eastAsia="zh-CN"/>
        </w:rPr>
        <w:t xml:space="preserve"> does not need to configure a new TAC value for the mobile IAB node. On the contrary, if the TAC value in the SIB of the source parent cell is different from the TAC value in the SIB of the target parent cell, then </w:t>
      </w:r>
      <w:proofErr w:type="spellStart"/>
      <w:r>
        <w:rPr>
          <w:lang w:val="en-US" w:eastAsia="zh-CN"/>
        </w:rPr>
        <w:t>gNB</w:t>
      </w:r>
      <w:proofErr w:type="spellEnd"/>
      <w:r>
        <w:rPr>
          <w:lang w:val="en-US" w:eastAsia="zh-CN"/>
        </w:rPr>
        <w:t xml:space="preserve"> may decide to configure a new TAC value for the mobile IAB node or not. Further, the </w:t>
      </w:r>
      <w:r>
        <w:rPr>
          <w:lang w:val="en-US" w:eastAsia="zh-CN"/>
        </w:rPr>
        <w:lastRenderedPageBreak/>
        <w:t xml:space="preserve">new TAC value can be configured to mobile IAB-DU via F1 signaling, or the new TAC value can be configured to mobile IAB-MT via RRC signaling (e.g. </w:t>
      </w:r>
      <w:proofErr w:type="spellStart"/>
      <w:r>
        <w:t>RRCReconfiguration</w:t>
      </w:r>
      <w:proofErr w:type="spellEnd"/>
      <w:r>
        <w:rPr>
          <w:lang w:val="en-US" w:eastAsia="zh-CN"/>
        </w:rPr>
        <w:t>) and then mobile IAB-MT transport the TAC value to its collocated mobile IAB-DU.</w:t>
      </w:r>
    </w:p>
    <w:p w:rsidR="00587AAA" w:rsidRPr="007F6C03" w:rsidRDefault="00587AAA" w:rsidP="00587AAA">
      <w:pPr>
        <w:jc w:val="both"/>
        <w:rPr>
          <w:lang w:val="en-US" w:eastAsia="zh-CN"/>
        </w:rPr>
      </w:pPr>
      <w:r>
        <w:rPr>
          <w:b/>
          <w:lang w:val="en-US" w:eastAsia="zh-CN"/>
        </w:rPr>
        <w:t xml:space="preserve">Observation 1: </w:t>
      </w:r>
      <w:r w:rsidRPr="00023DF0">
        <w:rPr>
          <w:b/>
          <w:lang w:val="en-US" w:eastAsia="zh-CN"/>
        </w:rPr>
        <w:t>For intra-</w:t>
      </w:r>
      <w:proofErr w:type="spellStart"/>
      <w:r w:rsidRPr="00023DF0">
        <w:rPr>
          <w:b/>
          <w:lang w:val="en-US" w:eastAsia="zh-CN"/>
        </w:rPr>
        <w:t>gNB</w:t>
      </w:r>
      <w:proofErr w:type="spellEnd"/>
      <w:r w:rsidRPr="00023DF0">
        <w:rPr>
          <w:b/>
          <w:lang w:val="en-US" w:eastAsia="zh-CN"/>
        </w:rPr>
        <w:t xml:space="preserve"> partial migration,</w:t>
      </w:r>
      <w:r>
        <w:rPr>
          <w:b/>
          <w:lang w:val="en-US" w:eastAsia="zh-CN"/>
        </w:rPr>
        <w:t xml:space="preserve"> F1 signaling or RRC signaling can be used to transfer the new TAC if </w:t>
      </w:r>
      <w:proofErr w:type="spellStart"/>
      <w:r w:rsidRPr="00023DF0">
        <w:rPr>
          <w:b/>
          <w:lang w:val="en-US" w:eastAsia="zh-CN"/>
        </w:rPr>
        <w:t>gNB</w:t>
      </w:r>
      <w:proofErr w:type="spellEnd"/>
      <w:r w:rsidRPr="00023DF0">
        <w:rPr>
          <w:b/>
          <w:lang w:val="en-US" w:eastAsia="zh-CN"/>
        </w:rPr>
        <w:t xml:space="preserve"> determine to configure a new TAC value to the mobile IAB node</w:t>
      </w:r>
      <w:r>
        <w:rPr>
          <w:b/>
          <w:lang w:val="en-US" w:eastAsia="zh-CN"/>
        </w:rPr>
        <w:t>.</w:t>
      </w:r>
    </w:p>
    <w:p w:rsidR="00587AAA" w:rsidRDefault="00587AAA" w:rsidP="00587AAA">
      <w:pPr>
        <w:jc w:val="both"/>
        <w:rPr>
          <w:b/>
          <w:lang w:val="en-US" w:eastAsia="zh-CN"/>
        </w:rPr>
      </w:pPr>
      <w:r w:rsidRPr="00023DF0">
        <w:rPr>
          <w:b/>
          <w:lang w:val="en-US" w:eastAsia="zh-CN"/>
        </w:rPr>
        <w:t>Proposal 1: For intra-</w:t>
      </w:r>
      <w:proofErr w:type="spellStart"/>
      <w:r w:rsidRPr="00023DF0">
        <w:rPr>
          <w:b/>
          <w:lang w:val="en-US" w:eastAsia="zh-CN"/>
        </w:rPr>
        <w:t>gNB</w:t>
      </w:r>
      <w:proofErr w:type="spellEnd"/>
      <w:r w:rsidRPr="00023DF0">
        <w:rPr>
          <w:b/>
          <w:lang w:val="en-US" w:eastAsia="zh-CN"/>
        </w:rPr>
        <w:t xml:space="preserve"> partial migration, </w:t>
      </w:r>
      <w:proofErr w:type="spellStart"/>
      <w:r w:rsidRPr="00023DF0">
        <w:rPr>
          <w:b/>
          <w:lang w:val="en-US" w:eastAsia="zh-CN"/>
        </w:rPr>
        <w:t>gNB</w:t>
      </w:r>
      <w:proofErr w:type="spellEnd"/>
      <w:r w:rsidRPr="00023DF0">
        <w:rPr>
          <w:b/>
          <w:lang w:val="en-US" w:eastAsia="zh-CN"/>
        </w:rPr>
        <w:t xml:space="preserve"> can determine whether to configure a new TAC value to the mobile IAB node.</w:t>
      </w:r>
    </w:p>
    <w:p w:rsidR="00587AAA" w:rsidRDefault="00587AAA" w:rsidP="00587AAA">
      <w:pPr>
        <w:pStyle w:val="afd"/>
        <w:numPr>
          <w:ilvl w:val="0"/>
          <w:numId w:val="13"/>
        </w:numPr>
        <w:overflowPunct w:val="0"/>
        <w:autoSpaceDE w:val="0"/>
        <w:autoSpaceDN w:val="0"/>
        <w:adjustRightInd w:val="0"/>
        <w:spacing w:beforeLines="50" w:before="156"/>
        <w:ind w:firstLineChars="0"/>
        <w:jc w:val="both"/>
      </w:pPr>
      <w:r>
        <w:t>Int</w:t>
      </w:r>
      <w:r>
        <w:rPr>
          <w:rFonts w:hint="eastAsia"/>
        </w:rPr>
        <w:t>er</w:t>
      </w:r>
      <w:r>
        <w:t>-</w:t>
      </w:r>
      <w:proofErr w:type="spellStart"/>
      <w:r>
        <w:t>gNB</w:t>
      </w:r>
      <w:proofErr w:type="spellEnd"/>
      <w:r>
        <w:t xml:space="preserve"> partial migration</w:t>
      </w:r>
    </w:p>
    <w:p w:rsidR="00587AAA" w:rsidRDefault="00587AAA" w:rsidP="00587AAA">
      <w:pPr>
        <w:jc w:val="center"/>
      </w:pPr>
      <w:r>
        <w:rPr>
          <w:rFonts w:ascii="宋体" w:hAnsi="宋体" w:cs="宋体"/>
          <w:noProof/>
          <w:sz w:val="24"/>
          <w:szCs w:val="24"/>
          <w:lang w:val="en-US" w:eastAsia="zh-CN"/>
        </w:rPr>
        <w:drawing>
          <wp:inline distT="0" distB="0" distL="114300" distR="114300" wp14:anchorId="4BB0A4C2" wp14:editId="52AD76A6">
            <wp:extent cx="2235835" cy="2871470"/>
            <wp:effectExtent l="0" t="0" r="12065" b="508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2235835" cy="2871470"/>
                    </a:xfrm>
                    <a:prstGeom prst="rect">
                      <a:avLst/>
                    </a:prstGeom>
                    <a:noFill/>
                    <a:ln w="9525">
                      <a:noFill/>
                    </a:ln>
                  </pic:spPr>
                </pic:pic>
              </a:graphicData>
            </a:graphic>
          </wp:inline>
        </w:drawing>
      </w:r>
    </w:p>
    <w:p w:rsidR="00587AAA" w:rsidRDefault="00587AAA" w:rsidP="00587AAA">
      <w:pPr>
        <w:overflowPunct w:val="0"/>
        <w:autoSpaceDE w:val="0"/>
        <w:autoSpaceDN w:val="0"/>
        <w:adjustRightInd w:val="0"/>
        <w:spacing w:beforeLines="50" w:before="156"/>
        <w:jc w:val="center"/>
        <w:rPr>
          <w:lang w:val="en-US" w:eastAsia="zh-CN"/>
        </w:rPr>
      </w:pPr>
      <w:r>
        <w:rPr>
          <w:rFonts w:hint="eastAsia"/>
          <w:lang w:val="en-US" w:eastAsia="zh-CN"/>
        </w:rPr>
        <w:t xml:space="preserve">Figure 1. </w:t>
      </w:r>
      <w:proofErr w:type="gramStart"/>
      <w:r>
        <w:rPr>
          <w:rFonts w:hint="eastAsia"/>
          <w:lang w:val="en-US" w:eastAsia="zh-CN"/>
        </w:rPr>
        <w:t>inter-</w:t>
      </w:r>
      <w:proofErr w:type="spellStart"/>
      <w:r>
        <w:rPr>
          <w:rFonts w:hint="eastAsia"/>
          <w:lang w:val="en-US" w:eastAsia="zh-CN"/>
        </w:rPr>
        <w:t>gNB</w:t>
      </w:r>
      <w:proofErr w:type="spellEnd"/>
      <w:proofErr w:type="gramEnd"/>
      <w:r>
        <w:rPr>
          <w:rFonts w:hint="eastAsia"/>
          <w:lang w:val="en-US" w:eastAsia="zh-CN"/>
        </w:rPr>
        <w:t xml:space="preserve"> partial migration of mobile IAB node</w:t>
      </w:r>
    </w:p>
    <w:p w:rsidR="00587AAA" w:rsidRDefault="005D75C5" w:rsidP="00587AAA">
      <w:pPr>
        <w:jc w:val="both"/>
      </w:pPr>
      <w:r>
        <w:t>As shown in Figure 1, when the mobile IAB node perform inter-</w:t>
      </w:r>
      <w:proofErr w:type="spellStart"/>
      <w:r>
        <w:t>gNB</w:t>
      </w:r>
      <w:proofErr w:type="spellEnd"/>
      <w:r>
        <w:t xml:space="preserve"> partial migration, mobile IAB-MT migrat</w:t>
      </w:r>
      <w:r w:rsidR="00AA47C9">
        <w:t>ing</w:t>
      </w:r>
      <w:r>
        <w:t xml:space="preserve"> from Donor CU1 to Donor CU2 and </w:t>
      </w:r>
      <w:proofErr w:type="spellStart"/>
      <w:r w:rsidRPr="005D75C5">
        <w:t>and</w:t>
      </w:r>
      <w:proofErr w:type="spellEnd"/>
      <w:r w:rsidRPr="005D75C5">
        <w:t xml:space="preserve"> the mobile IAB-DU migrat</w:t>
      </w:r>
      <w:r w:rsidR="00AA47C9">
        <w:t>ing</w:t>
      </w:r>
      <w:r w:rsidRPr="005D75C5">
        <w:t xml:space="preserve"> from connecting to Donor CU1 </w:t>
      </w:r>
      <w:r>
        <w:t>via</w:t>
      </w:r>
      <w:r w:rsidRPr="005D75C5">
        <w:t xml:space="preserve"> Donor DU1 to connecting to Donor CU1 </w:t>
      </w:r>
      <w:r>
        <w:t>via</w:t>
      </w:r>
      <w:r w:rsidRPr="005D75C5">
        <w:t xml:space="preserve"> Donor DU2.</w:t>
      </w:r>
      <w:r>
        <w:t xml:space="preserve"> In this case</w:t>
      </w:r>
      <w:r w:rsidR="00587AAA">
        <w:t xml:space="preserve">, </w:t>
      </w:r>
      <w:proofErr w:type="spellStart"/>
      <w:r w:rsidR="00587AAA">
        <w:t>gNB</w:t>
      </w:r>
      <w:proofErr w:type="spellEnd"/>
      <w:r w:rsidR="00587AAA">
        <w:t xml:space="preserve"> can configure a TAC value </w:t>
      </w:r>
      <w:r w:rsidR="00587AAA">
        <w:rPr>
          <w:rFonts w:hint="eastAsia"/>
        </w:rPr>
        <w:t>during</w:t>
      </w:r>
      <w:r w:rsidR="00587AAA">
        <w:t xml:space="preserve"> mobile IAB MT’s migration phase or F1 transport migration phase.  </w:t>
      </w:r>
      <w:r w:rsidR="00587AAA">
        <w:rPr>
          <w:rFonts w:hint="eastAsia"/>
        </w:rPr>
        <w:t>As we know</w:t>
      </w:r>
      <w:r w:rsidR="00587AAA">
        <w:t xml:space="preserve">, the intention of dynamic TAC is to reflect the actual geographical location of mobile IAB node. And the mobile IAB MT’s </w:t>
      </w:r>
      <w:r w:rsidR="00587AAA">
        <w:rPr>
          <w:rFonts w:hint="eastAsia"/>
        </w:rPr>
        <w:t xml:space="preserve">target </w:t>
      </w:r>
      <w:r w:rsidR="00587AAA">
        <w:t xml:space="preserve">donor (e.g. Donor CU2) has more information about the mobile IAB node’s geographical location (e.g. target parent’s TAC, TAC(s) of the </w:t>
      </w:r>
      <w:r w:rsidR="00587AAA">
        <w:rPr>
          <w:rFonts w:hint="eastAsia"/>
        </w:rPr>
        <w:t xml:space="preserve">other </w:t>
      </w:r>
      <w:r w:rsidR="00587AAA">
        <w:t xml:space="preserve">cells of the mobile IAB MT’s </w:t>
      </w:r>
      <w:r w:rsidR="00587AAA">
        <w:rPr>
          <w:rFonts w:hint="eastAsia"/>
        </w:rPr>
        <w:t>target</w:t>
      </w:r>
      <w:r w:rsidR="00587AAA">
        <w:t xml:space="preserve"> donor, etc.)</w:t>
      </w:r>
      <w:r w:rsidR="00587AAA">
        <w:rPr>
          <w:rFonts w:hint="eastAsia"/>
        </w:rPr>
        <w:t>. So the</w:t>
      </w:r>
      <w:r w:rsidR="00587AAA">
        <w:t xml:space="preserve"> mobile IAB-MT’s </w:t>
      </w:r>
      <w:r w:rsidR="00587AAA">
        <w:rPr>
          <w:rFonts w:hint="eastAsia"/>
        </w:rPr>
        <w:t>target</w:t>
      </w:r>
      <w:r w:rsidR="00587AAA">
        <w:t xml:space="preserve"> donor (e.g. Donor CU2) can configure a TAC value to mobile IAB-MT via RRC </w:t>
      </w:r>
      <w:proofErr w:type="spellStart"/>
      <w:r w:rsidR="00587AAA">
        <w:t>signaling</w:t>
      </w:r>
      <w:proofErr w:type="spellEnd"/>
      <w:r w:rsidR="00587AAA">
        <w:t xml:space="preserve"> (e.g. </w:t>
      </w:r>
      <w:r w:rsidR="00587AAA">
        <w:rPr>
          <w:rFonts w:hint="eastAsia"/>
        </w:rPr>
        <w:t>r</w:t>
      </w:r>
      <w:r w:rsidR="00587AAA">
        <w:t>econfiguration</w:t>
      </w:r>
      <w:r w:rsidR="00587AAA">
        <w:rPr>
          <w:rFonts w:hint="eastAsia"/>
        </w:rPr>
        <w:t xml:space="preserve"> with sync</w:t>
      </w:r>
      <w:r w:rsidR="00587AAA">
        <w:t>) when the mobile IAB-MT h</w:t>
      </w:r>
      <w:r w:rsidR="00587AAA">
        <w:rPr>
          <w:rFonts w:hint="eastAsia"/>
        </w:rPr>
        <w:t>a</w:t>
      </w:r>
      <w:r w:rsidR="00587AAA">
        <w:t xml:space="preserve">ndover form donor CU1 to donor CU2 and then mobile IAB-MT </w:t>
      </w:r>
      <w:r w:rsidR="00587AAA">
        <w:rPr>
          <w:rFonts w:hint="eastAsia"/>
        </w:rPr>
        <w:t>deliver</w:t>
      </w:r>
      <w:r w:rsidR="00587AAA">
        <w:t xml:space="preserve"> th</w:t>
      </w:r>
      <w:r w:rsidR="00587AAA">
        <w:rPr>
          <w:rFonts w:hint="eastAsia"/>
        </w:rPr>
        <w:t>is</w:t>
      </w:r>
      <w:r w:rsidR="00587AAA">
        <w:t xml:space="preserve"> TAC value to its collocated mobile IAB-DU. Upon receiving the TAC value, mobile IAB-DU </w:t>
      </w:r>
      <w:r w:rsidR="00587AAA">
        <w:rPr>
          <w:rFonts w:hint="eastAsia"/>
        </w:rPr>
        <w:t>may</w:t>
      </w:r>
      <w:r w:rsidR="00587AAA">
        <w:t xml:space="preserve"> compare the TAC value with the old one. If the configured TAC value is different </w:t>
      </w:r>
      <w:r w:rsidR="00587AAA">
        <w:rPr>
          <w:rFonts w:hint="eastAsia"/>
        </w:rPr>
        <w:t>from</w:t>
      </w:r>
      <w:r w:rsidR="00587AAA">
        <w:t xml:space="preserve"> the old one, mobile IAB-DU can update the TAC value to its donor via legacy F1 </w:t>
      </w:r>
      <w:proofErr w:type="spellStart"/>
      <w:r w:rsidR="00587AAA">
        <w:t>signaling</w:t>
      </w:r>
      <w:proofErr w:type="spellEnd"/>
      <w:r w:rsidR="00587AAA">
        <w:t>. On the other hand, mobile IAB-</w:t>
      </w:r>
      <w:proofErr w:type="spellStart"/>
      <w:r w:rsidR="00587AAA">
        <w:t>DU’donor</w:t>
      </w:r>
      <w:proofErr w:type="spellEnd"/>
      <w:r w:rsidR="00587AAA">
        <w:t xml:space="preserve"> (e.g. Donor CU1) can configure a TAC value to mobile IAB-DU via F1 </w:t>
      </w:r>
      <w:proofErr w:type="spellStart"/>
      <w:r w:rsidR="00587AAA">
        <w:t>signaling</w:t>
      </w:r>
      <w:proofErr w:type="spellEnd"/>
      <w:r w:rsidR="00587AAA">
        <w:t>.</w:t>
      </w:r>
      <w:r w:rsidR="00587AAA">
        <w:rPr>
          <w:rFonts w:hint="eastAsia"/>
        </w:rPr>
        <w:t xml:space="preserve"> I</w:t>
      </w:r>
      <w:r w:rsidR="00587AAA">
        <w:t xml:space="preserve">n </w:t>
      </w:r>
      <w:r w:rsidR="00587AAA">
        <w:rPr>
          <w:rFonts w:hint="eastAsia"/>
        </w:rPr>
        <w:t xml:space="preserve">this case, </w:t>
      </w:r>
      <w:r w:rsidR="00587AAA">
        <w:t xml:space="preserve">mobile IAB-DU’s donor (e.g. Donor CU1) need to acquire </w:t>
      </w:r>
      <w:r w:rsidR="00587AAA">
        <w:rPr>
          <w:rFonts w:hint="eastAsia"/>
        </w:rPr>
        <w:t>the</w:t>
      </w:r>
      <w:r w:rsidR="00587AAA">
        <w:t xml:space="preserve"> TAC information (e.g. TAC value of IAB node’s parent node or </w:t>
      </w:r>
      <w:r w:rsidR="00587AAA">
        <w:rPr>
          <w:rFonts w:hint="eastAsia"/>
        </w:rPr>
        <w:t xml:space="preserve">the allowed </w:t>
      </w:r>
      <w:r w:rsidR="00587AAA">
        <w:t xml:space="preserve">TAC(s) of the cells of the mobile IAB-MT’s </w:t>
      </w:r>
      <w:r w:rsidR="00587AAA">
        <w:rPr>
          <w:rFonts w:hint="eastAsia"/>
        </w:rPr>
        <w:t xml:space="preserve">target </w:t>
      </w:r>
      <w:r w:rsidR="00587AAA">
        <w:t xml:space="preserve">donor) from mobile IAB-MT’s </w:t>
      </w:r>
      <w:r w:rsidR="00587AAA">
        <w:rPr>
          <w:rFonts w:hint="eastAsia"/>
        </w:rPr>
        <w:t xml:space="preserve">target </w:t>
      </w:r>
      <w:r w:rsidR="00587AAA">
        <w:t xml:space="preserve">donor (e.g. Donor CU2) via </w:t>
      </w:r>
      <w:proofErr w:type="spellStart"/>
      <w:r w:rsidR="00587AAA">
        <w:t>Xn</w:t>
      </w:r>
      <w:proofErr w:type="spellEnd"/>
      <w:r w:rsidR="00587AAA">
        <w:t xml:space="preserve"> or NG interface after mobile IAB-MT migration. </w:t>
      </w:r>
      <w:r w:rsidR="00587AAA">
        <w:rPr>
          <w:rFonts w:hint="eastAsia"/>
        </w:rPr>
        <w:t>Then mobile IAB-DU</w:t>
      </w:r>
      <w:r w:rsidR="00587AAA">
        <w:t>’</w:t>
      </w:r>
      <w:r w:rsidR="00587AAA">
        <w:rPr>
          <w:rFonts w:hint="eastAsia"/>
        </w:rPr>
        <w:t>s donor</w:t>
      </w:r>
      <w:r w:rsidR="00587AAA">
        <w:t xml:space="preserve"> (e.g. Donor CU1)</w:t>
      </w:r>
      <w:r w:rsidR="00587AAA">
        <w:rPr>
          <w:rFonts w:hint="eastAsia"/>
        </w:rPr>
        <w:t xml:space="preserve"> may configure the mobile IAB-DU with the TAC which is aligned with the </w:t>
      </w:r>
      <w:r w:rsidR="00587AAA">
        <w:t xml:space="preserve">mobile IAB-MT’s </w:t>
      </w:r>
      <w:r w:rsidR="00587AAA">
        <w:rPr>
          <w:rFonts w:hint="eastAsia"/>
        </w:rPr>
        <w:t xml:space="preserve">target </w:t>
      </w:r>
      <w:r w:rsidR="00587AAA">
        <w:t>donor (e.g. Donor CU2)</w:t>
      </w:r>
      <w:r w:rsidR="00587AAA">
        <w:rPr>
          <w:rFonts w:hint="eastAsia"/>
        </w:rPr>
        <w:t xml:space="preserve">. </w:t>
      </w:r>
    </w:p>
    <w:p w:rsidR="00587AAA" w:rsidRDefault="00587AAA" w:rsidP="00587AAA">
      <w:pPr>
        <w:jc w:val="both"/>
        <w:rPr>
          <w:b/>
          <w:lang w:val="en-US" w:eastAsia="zh-CN"/>
        </w:rPr>
      </w:pPr>
      <w:r>
        <w:rPr>
          <w:b/>
          <w:lang w:val="en-US" w:eastAsia="zh-CN"/>
        </w:rPr>
        <w:lastRenderedPageBreak/>
        <w:t xml:space="preserve">Observation 2: </w:t>
      </w:r>
      <w:r w:rsidRPr="00023DF0">
        <w:rPr>
          <w:b/>
          <w:lang w:val="en-US" w:eastAsia="zh-CN"/>
        </w:rPr>
        <w:t>For int</w:t>
      </w:r>
      <w:r>
        <w:rPr>
          <w:b/>
          <w:lang w:val="en-US" w:eastAsia="zh-CN"/>
        </w:rPr>
        <w:t>er</w:t>
      </w:r>
      <w:r w:rsidRPr="00023DF0">
        <w:rPr>
          <w:b/>
          <w:lang w:val="en-US" w:eastAsia="zh-CN"/>
        </w:rPr>
        <w:t>-</w:t>
      </w:r>
      <w:proofErr w:type="spellStart"/>
      <w:r w:rsidRPr="00023DF0">
        <w:rPr>
          <w:b/>
          <w:lang w:val="en-US" w:eastAsia="zh-CN"/>
        </w:rPr>
        <w:t>gNB</w:t>
      </w:r>
      <w:proofErr w:type="spellEnd"/>
      <w:r w:rsidRPr="00023DF0">
        <w:rPr>
          <w:b/>
          <w:lang w:val="en-US" w:eastAsia="zh-CN"/>
        </w:rPr>
        <w:t xml:space="preserve"> partial migration,</w:t>
      </w:r>
      <w:r>
        <w:rPr>
          <w:b/>
          <w:lang w:val="en-US" w:eastAsia="zh-CN"/>
        </w:rPr>
        <w:t xml:space="preserve"> F1 signaling or RRC signaling can be used to transfer the new TAC if </w:t>
      </w:r>
      <w:proofErr w:type="spellStart"/>
      <w:r w:rsidRPr="00023DF0">
        <w:rPr>
          <w:b/>
          <w:lang w:val="en-US" w:eastAsia="zh-CN"/>
        </w:rPr>
        <w:t>gNB</w:t>
      </w:r>
      <w:proofErr w:type="spellEnd"/>
      <w:r w:rsidRPr="00023DF0">
        <w:rPr>
          <w:b/>
          <w:lang w:val="en-US" w:eastAsia="zh-CN"/>
        </w:rPr>
        <w:t xml:space="preserve"> determine to configure a new TAC value to the mobile IAB node</w:t>
      </w:r>
      <w:r>
        <w:rPr>
          <w:b/>
          <w:lang w:val="en-US" w:eastAsia="zh-CN"/>
        </w:rPr>
        <w:t>.</w:t>
      </w:r>
    </w:p>
    <w:p w:rsidR="00587AAA" w:rsidRPr="00023DF0" w:rsidRDefault="00587AAA" w:rsidP="00587AAA">
      <w:pPr>
        <w:jc w:val="both"/>
        <w:rPr>
          <w:lang w:val="en-US" w:eastAsia="zh-CN"/>
        </w:rPr>
      </w:pPr>
      <w:r>
        <w:rPr>
          <w:b/>
          <w:lang w:val="en-US" w:eastAsia="zh-CN"/>
        </w:rPr>
        <w:t xml:space="preserve">Observation 3: </w:t>
      </w:r>
      <w:r w:rsidRPr="00023DF0">
        <w:rPr>
          <w:b/>
          <w:lang w:val="en-US" w:eastAsia="zh-CN"/>
        </w:rPr>
        <w:t>For int</w:t>
      </w:r>
      <w:r>
        <w:rPr>
          <w:b/>
          <w:lang w:val="en-US" w:eastAsia="zh-CN"/>
        </w:rPr>
        <w:t>er</w:t>
      </w:r>
      <w:r w:rsidRPr="00023DF0">
        <w:rPr>
          <w:b/>
          <w:lang w:val="en-US" w:eastAsia="zh-CN"/>
        </w:rPr>
        <w:t>-</w:t>
      </w:r>
      <w:proofErr w:type="spellStart"/>
      <w:r w:rsidRPr="00023DF0">
        <w:rPr>
          <w:b/>
          <w:lang w:val="en-US" w:eastAsia="zh-CN"/>
        </w:rPr>
        <w:t>gNB</w:t>
      </w:r>
      <w:proofErr w:type="spellEnd"/>
      <w:r w:rsidRPr="00023DF0">
        <w:rPr>
          <w:b/>
          <w:lang w:val="en-US" w:eastAsia="zh-CN"/>
        </w:rPr>
        <w:t xml:space="preserve"> partial migration,</w:t>
      </w:r>
      <w:r>
        <w:rPr>
          <w:b/>
          <w:lang w:val="en-US" w:eastAsia="zh-CN"/>
        </w:rPr>
        <w:t xml:space="preserve"> if </w:t>
      </w:r>
      <w:proofErr w:type="spellStart"/>
      <w:r>
        <w:rPr>
          <w:b/>
          <w:lang w:val="en-US" w:eastAsia="zh-CN"/>
        </w:rPr>
        <w:t>gNB</w:t>
      </w:r>
      <w:proofErr w:type="spellEnd"/>
      <w:r>
        <w:rPr>
          <w:b/>
          <w:lang w:val="en-US" w:eastAsia="zh-CN"/>
        </w:rPr>
        <w:t xml:space="preserve"> determine to configure a new TAC value to mobile IAB node via F1 signaling, then mobile IAB-DU’s donor need to acquire some essential TAC information from mobile IAB-MT’s donor via </w:t>
      </w:r>
      <w:proofErr w:type="spellStart"/>
      <w:r>
        <w:rPr>
          <w:b/>
          <w:lang w:val="en-US" w:eastAsia="zh-CN"/>
        </w:rPr>
        <w:t>Xn</w:t>
      </w:r>
      <w:proofErr w:type="spellEnd"/>
      <w:r>
        <w:rPr>
          <w:b/>
          <w:lang w:val="en-US" w:eastAsia="zh-CN"/>
        </w:rPr>
        <w:t xml:space="preserve"> or NG.</w:t>
      </w:r>
    </w:p>
    <w:p w:rsidR="00587AAA" w:rsidRDefault="00587AAA" w:rsidP="00587AAA">
      <w:pPr>
        <w:pStyle w:val="afd"/>
        <w:numPr>
          <w:ilvl w:val="0"/>
          <w:numId w:val="13"/>
        </w:numPr>
        <w:overflowPunct w:val="0"/>
        <w:autoSpaceDE w:val="0"/>
        <w:autoSpaceDN w:val="0"/>
        <w:adjustRightInd w:val="0"/>
        <w:spacing w:beforeLines="50" w:before="156"/>
        <w:ind w:firstLineChars="0"/>
        <w:jc w:val="both"/>
      </w:pPr>
      <w:r>
        <w:t>Full migration</w:t>
      </w:r>
    </w:p>
    <w:p w:rsidR="00587AAA" w:rsidRDefault="00587AAA" w:rsidP="00587AAA">
      <w:pPr>
        <w:overflowPunct w:val="0"/>
        <w:autoSpaceDE w:val="0"/>
        <w:autoSpaceDN w:val="0"/>
        <w:adjustRightInd w:val="0"/>
        <w:spacing w:beforeLines="50" w:before="156"/>
        <w:jc w:val="both"/>
        <w:rPr>
          <w:lang w:val="en-US" w:eastAsia="zh-CN"/>
        </w:rPr>
      </w:pPr>
      <w:r>
        <w:rPr>
          <w:lang w:val="en-US" w:eastAsia="zh-CN"/>
        </w:rPr>
        <w:t>For full migration, we can discuss this problem in two cases:</w:t>
      </w:r>
    </w:p>
    <w:p w:rsidR="00587AAA" w:rsidRDefault="00587AAA" w:rsidP="00587AAA">
      <w:pPr>
        <w:overflowPunct w:val="0"/>
        <w:autoSpaceDE w:val="0"/>
        <w:autoSpaceDN w:val="0"/>
        <w:adjustRightInd w:val="0"/>
        <w:spacing w:beforeLines="50" w:before="156"/>
        <w:jc w:val="both"/>
        <w:rPr>
          <w:lang w:val="en-US" w:eastAsia="zh-CN"/>
        </w:rPr>
      </w:pPr>
      <w:r>
        <w:rPr>
          <w:lang w:val="en-US" w:eastAsia="zh-CN"/>
        </w:rPr>
        <w:t>Case 1: mobile IAB-MT and mobile IAB-DU migrating to a same donor</w:t>
      </w:r>
    </w:p>
    <w:p w:rsidR="00587AAA" w:rsidRDefault="00587AAA" w:rsidP="00587AAA">
      <w:pPr>
        <w:jc w:val="center"/>
      </w:pPr>
      <w:r>
        <w:rPr>
          <w:rFonts w:ascii="宋体" w:hAnsi="宋体" w:cs="宋体"/>
          <w:noProof/>
          <w:sz w:val="24"/>
          <w:szCs w:val="24"/>
          <w:lang w:val="en-US" w:eastAsia="zh-CN"/>
        </w:rPr>
        <w:drawing>
          <wp:inline distT="0" distB="0" distL="114300" distR="114300" wp14:anchorId="63ADA5C7" wp14:editId="17BDBD94">
            <wp:extent cx="2445385" cy="3140075"/>
            <wp:effectExtent l="0" t="0" r="12065" b="317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2445385" cy="3140075"/>
                    </a:xfrm>
                    <a:prstGeom prst="rect">
                      <a:avLst/>
                    </a:prstGeom>
                    <a:noFill/>
                    <a:ln w="9525">
                      <a:noFill/>
                    </a:ln>
                  </pic:spPr>
                </pic:pic>
              </a:graphicData>
            </a:graphic>
          </wp:inline>
        </w:drawing>
      </w:r>
    </w:p>
    <w:p w:rsidR="00587AAA" w:rsidRDefault="00587AAA" w:rsidP="00587AAA">
      <w:pPr>
        <w:overflowPunct w:val="0"/>
        <w:autoSpaceDE w:val="0"/>
        <w:autoSpaceDN w:val="0"/>
        <w:adjustRightInd w:val="0"/>
        <w:spacing w:beforeLines="50" w:before="156"/>
        <w:jc w:val="center"/>
        <w:rPr>
          <w:lang w:val="en-US" w:eastAsia="zh-CN"/>
        </w:rPr>
      </w:pPr>
      <w:r>
        <w:rPr>
          <w:rFonts w:hint="eastAsia"/>
          <w:lang w:val="en-US" w:eastAsia="zh-CN"/>
        </w:rPr>
        <w:t xml:space="preserve">Figure 2. </w:t>
      </w:r>
      <w:proofErr w:type="gramStart"/>
      <w:r>
        <w:rPr>
          <w:rFonts w:hint="eastAsia"/>
          <w:lang w:val="en-US" w:eastAsia="zh-CN"/>
        </w:rPr>
        <w:t>full</w:t>
      </w:r>
      <w:proofErr w:type="gramEnd"/>
      <w:r>
        <w:rPr>
          <w:rFonts w:hint="eastAsia"/>
          <w:lang w:val="en-US" w:eastAsia="zh-CN"/>
        </w:rPr>
        <w:t xml:space="preserve"> migration of mobile IAB node (MT and DU migrati</w:t>
      </w:r>
      <w:r>
        <w:rPr>
          <w:lang w:val="en-US" w:eastAsia="zh-CN"/>
        </w:rPr>
        <w:t>ng</w:t>
      </w:r>
      <w:r>
        <w:rPr>
          <w:rFonts w:hint="eastAsia"/>
          <w:lang w:val="en-US" w:eastAsia="zh-CN"/>
        </w:rPr>
        <w:t xml:space="preserve"> to a same donor)</w:t>
      </w:r>
    </w:p>
    <w:p w:rsidR="00587AAA" w:rsidRDefault="00AA47C9" w:rsidP="00587AAA">
      <w:pPr>
        <w:jc w:val="both"/>
      </w:pPr>
      <w:r>
        <w:t>As shown in Figure 2, when the mobile IAB node perform full migration (mobile IAB-</w:t>
      </w:r>
      <w:r>
        <w:rPr>
          <w:rFonts w:hint="eastAsia"/>
          <w:lang w:val="en-US" w:eastAsia="zh-CN"/>
        </w:rPr>
        <w:t xml:space="preserve">MT and </w:t>
      </w:r>
      <w:r>
        <w:rPr>
          <w:lang w:val="en-US" w:eastAsia="zh-CN"/>
        </w:rPr>
        <w:t>mobile IAB-</w:t>
      </w:r>
      <w:r>
        <w:rPr>
          <w:rFonts w:hint="eastAsia"/>
          <w:lang w:val="en-US" w:eastAsia="zh-CN"/>
        </w:rPr>
        <w:t>DU migrati</w:t>
      </w:r>
      <w:r>
        <w:rPr>
          <w:lang w:val="en-US" w:eastAsia="zh-CN"/>
        </w:rPr>
        <w:t>ng</w:t>
      </w:r>
      <w:r>
        <w:rPr>
          <w:rFonts w:hint="eastAsia"/>
          <w:lang w:val="en-US" w:eastAsia="zh-CN"/>
        </w:rPr>
        <w:t xml:space="preserve"> to a same donor</w:t>
      </w:r>
      <w:r>
        <w:t>), both mobile IAB-MT and mobile IAB-DU migrating from Donor CU1 to Donor CU2</w:t>
      </w:r>
      <w:r w:rsidRPr="005D75C5">
        <w:t>.</w:t>
      </w:r>
      <w:r>
        <w:t xml:space="preserve"> </w:t>
      </w:r>
      <w:r w:rsidR="00587AAA">
        <w:rPr>
          <w:rFonts w:hint="eastAsia"/>
        </w:rPr>
        <w:t>I</w:t>
      </w:r>
      <w:r w:rsidR="00587AAA">
        <w:t xml:space="preserve">n this case, the donor CU2 can configure a TAC value to mobile IAB-MT via RRC </w:t>
      </w:r>
      <w:proofErr w:type="spellStart"/>
      <w:r w:rsidR="00587AAA">
        <w:t>signaling</w:t>
      </w:r>
      <w:proofErr w:type="spellEnd"/>
      <w:r w:rsidR="00587AAA">
        <w:t xml:space="preserve"> (e.g. </w:t>
      </w:r>
      <w:proofErr w:type="spellStart"/>
      <w:r w:rsidR="00587AAA">
        <w:t>RRCReconfiguration</w:t>
      </w:r>
      <w:proofErr w:type="spellEnd"/>
      <w:r w:rsidR="00587AAA">
        <w:t xml:space="preserve">) </w:t>
      </w:r>
      <w:r w:rsidR="00587AAA">
        <w:rPr>
          <w:rFonts w:hint="eastAsia"/>
        </w:rPr>
        <w:t>during</w:t>
      </w:r>
      <w:r w:rsidR="00587AAA">
        <w:t xml:space="preserve"> mobile IAB-MT’s migration phase and then mobile IAB-MT </w:t>
      </w:r>
      <w:r w:rsidR="00587AAA">
        <w:rPr>
          <w:rFonts w:hint="eastAsia"/>
        </w:rPr>
        <w:t>delivers</w:t>
      </w:r>
      <w:r w:rsidR="00587AAA">
        <w:t xml:space="preserve"> the TAC value to its collocated mobile IAB-DU. Upon receiving the TAC value, mobile IAB-DU will compare the TAC value with the old one. If the configured TAC value is different with the old one, mobile IAB-DU can update the TAC value to its donor </w:t>
      </w:r>
      <w:bookmarkStart w:id="1" w:name="_GoBack"/>
      <w:bookmarkEnd w:id="1"/>
      <w:r w:rsidR="00587AAA">
        <w:t xml:space="preserve">via legacy F1 </w:t>
      </w:r>
      <w:proofErr w:type="spellStart"/>
      <w:r w:rsidR="00587AAA">
        <w:t>signaling</w:t>
      </w:r>
      <w:proofErr w:type="spellEnd"/>
      <w:r w:rsidR="00587AAA">
        <w:t xml:space="preserve">. Or the donor CU1 can configure a TAC value to mobile IAB-DU via F1 </w:t>
      </w:r>
      <w:proofErr w:type="spellStart"/>
      <w:r w:rsidR="00587AAA">
        <w:t>signaling</w:t>
      </w:r>
      <w:proofErr w:type="spellEnd"/>
      <w:r w:rsidR="00587AAA">
        <w:t xml:space="preserve"> in mobile IAB-DU’s transport migration phase, or the donor CU2 can configure a TAC value to mobile IAB-DU via F1 </w:t>
      </w:r>
      <w:proofErr w:type="spellStart"/>
      <w:r w:rsidR="00587AAA">
        <w:t>signaling</w:t>
      </w:r>
      <w:proofErr w:type="spellEnd"/>
      <w:r w:rsidR="00587AAA">
        <w:t xml:space="preserve"> in mobile IAB-DU migration phase. </w:t>
      </w:r>
    </w:p>
    <w:p w:rsidR="00587AAA" w:rsidRPr="00A24B72" w:rsidRDefault="00587AAA" w:rsidP="00587AAA">
      <w:pPr>
        <w:jc w:val="both"/>
        <w:rPr>
          <w:lang w:val="en-US" w:eastAsia="zh-CN"/>
        </w:rPr>
      </w:pPr>
      <w:r w:rsidRPr="00F80C63">
        <w:rPr>
          <w:b/>
        </w:rPr>
        <w:t xml:space="preserve">Observation 4: </w:t>
      </w:r>
      <w:r w:rsidRPr="00023DF0">
        <w:rPr>
          <w:b/>
          <w:lang w:val="en-US" w:eastAsia="zh-CN"/>
        </w:rPr>
        <w:t xml:space="preserve">For </w:t>
      </w:r>
      <w:r>
        <w:rPr>
          <w:b/>
          <w:lang w:val="en-US" w:eastAsia="zh-CN"/>
        </w:rPr>
        <w:t>full</w:t>
      </w:r>
      <w:r w:rsidRPr="00023DF0">
        <w:rPr>
          <w:b/>
          <w:lang w:val="en-US" w:eastAsia="zh-CN"/>
        </w:rPr>
        <w:t xml:space="preserve"> migration</w:t>
      </w:r>
      <w:r>
        <w:rPr>
          <w:b/>
          <w:lang w:val="en-US" w:eastAsia="zh-CN"/>
        </w:rPr>
        <w:t xml:space="preserve"> (</w:t>
      </w:r>
      <w:r w:rsidRPr="00F80C63">
        <w:rPr>
          <w:b/>
          <w:lang w:val="en-US" w:eastAsia="zh-CN"/>
        </w:rPr>
        <w:t>mobile IAB-MT and mobile IAB-DU migrating to a same donor</w:t>
      </w:r>
      <w:r>
        <w:rPr>
          <w:b/>
          <w:lang w:val="en-US" w:eastAsia="zh-CN"/>
        </w:rPr>
        <w:t>)</w:t>
      </w:r>
      <w:r w:rsidRPr="00023DF0">
        <w:rPr>
          <w:b/>
          <w:lang w:val="en-US" w:eastAsia="zh-CN"/>
        </w:rPr>
        <w:t>,</w:t>
      </w:r>
      <w:r>
        <w:rPr>
          <w:b/>
          <w:lang w:val="en-US" w:eastAsia="zh-CN"/>
        </w:rPr>
        <w:t xml:space="preserve"> F1 signaling or RRC signaling can be used to transfer the new TAC if </w:t>
      </w:r>
      <w:proofErr w:type="spellStart"/>
      <w:r w:rsidRPr="00023DF0">
        <w:rPr>
          <w:b/>
          <w:lang w:val="en-US" w:eastAsia="zh-CN"/>
        </w:rPr>
        <w:t>gNB</w:t>
      </w:r>
      <w:proofErr w:type="spellEnd"/>
      <w:r w:rsidRPr="00023DF0">
        <w:rPr>
          <w:b/>
          <w:lang w:val="en-US" w:eastAsia="zh-CN"/>
        </w:rPr>
        <w:t xml:space="preserve"> determine to configure a new TAC value to the mobile IAB node</w:t>
      </w:r>
      <w:r>
        <w:rPr>
          <w:b/>
          <w:lang w:val="en-US" w:eastAsia="zh-CN"/>
        </w:rPr>
        <w:t>.</w:t>
      </w:r>
    </w:p>
    <w:p w:rsidR="00587AAA" w:rsidRDefault="00587AAA" w:rsidP="00587AAA">
      <w:pPr>
        <w:overflowPunct w:val="0"/>
        <w:autoSpaceDE w:val="0"/>
        <w:autoSpaceDN w:val="0"/>
        <w:adjustRightInd w:val="0"/>
        <w:spacing w:beforeLines="50" w:before="156"/>
        <w:jc w:val="both"/>
        <w:rPr>
          <w:lang w:val="en-US" w:eastAsia="zh-CN"/>
        </w:rPr>
      </w:pPr>
      <w:r>
        <w:rPr>
          <w:lang w:val="en-US" w:eastAsia="zh-CN"/>
        </w:rPr>
        <w:t>Case 2: mobile IAB-MT and mobile IAB-DU migration to different donors</w:t>
      </w:r>
    </w:p>
    <w:p w:rsidR="00587AAA" w:rsidRDefault="00587AAA" w:rsidP="00587AAA">
      <w:pPr>
        <w:jc w:val="center"/>
      </w:pPr>
      <w:r>
        <w:rPr>
          <w:rFonts w:ascii="宋体" w:hAnsi="宋体" w:cs="宋体"/>
          <w:noProof/>
          <w:sz w:val="24"/>
          <w:szCs w:val="24"/>
          <w:lang w:val="en-US" w:eastAsia="zh-CN"/>
        </w:rPr>
        <w:lastRenderedPageBreak/>
        <w:drawing>
          <wp:inline distT="0" distB="0" distL="114300" distR="114300" wp14:anchorId="651E9B06" wp14:editId="622E2139">
            <wp:extent cx="2788920" cy="3091815"/>
            <wp:effectExtent l="0" t="0" r="11430" b="1333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9"/>
                    <a:stretch>
                      <a:fillRect/>
                    </a:stretch>
                  </pic:blipFill>
                  <pic:spPr>
                    <a:xfrm>
                      <a:off x="0" y="0"/>
                      <a:ext cx="2788920" cy="3091815"/>
                    </a:xfrm>
                    <a:prstGeom prst="rect">
                      <a:avLst/>
                    </a:prstGeom>
                    <a:noFill/>
                    <a:ln w="9525">
                      <a:noFill/>
                    </a:ln>
                  </pic:spPr>
                </pic:pic>
              </a:graphicData>
            </a:graphic>
          </wp:inline>
        </w:drawing>
      </w:r>
    </w:p>
    <w:p w:rsidR="00587AAA" w:rsidRDefault="00587AAA" w:rsidP="00587AAA">
      <w:pPr>
        <w:overflowPunct w:val="0"/>
        <w:autoSpaceDE w:val="0"/>
        <w:autoSpaceDN w:val="0"/>
        <w:adjustRightInd w:val="0"/>
        <w:spacing w:beforeLines="50" w:before="156"/>
        <w:jc w:val="center"/>
        <w:rPr>
          <w:lang w:val="en-US" w:eastAsia="zh-CN"/>
        </w:rPr>
      </w:pPr>
      <w:r>
        <w:rPr>
          <w:rFonts w:hint="eastAsia"/>
          <w:lang w:val="en-US" w:eastAsia="zh-CN"/>
        </w:rPr>
        <w:t xml:space="preserve">Figure 3. </w:t>
      </w:r>
      <w:proofErr w:type="gramStart"/>
      <w:r>
        <w:rPr>
          <w:rFonts w:hint="eastAsia"/>
          <w:lang w:val="en-US" w:eastAsia="zh-CN"/>
        </w:rPr>
        <w:t>full</w:t>
      </w:r>
      <w:proofErr w:type="gramEnd"/>
      <w:r>
        <w:rPr>
          <w:rFonts w:hint="eastAsia"/>
          <w:lang w:val="en-US" w:eastAsia="zh-CN"/>
        </w:rPr>
        <w:t xml:space="preserve"> migration of mobile IAB node (MT and DU migration to different donors)</w:t>
      </w:r>
    </w:p>
    <w:p w:rsidR="00587AAA" w:rsidRDefault="00AA47C9" w:rsidP="00587AAA">
      <w:pPr>
        <w:jc w:val="both"/>
        <w:rPr>
          <w:lang w:val="en-US" w:eastAsia="zh-CN"/>
        </w:rPr>
      </w:pPr>
      <w:r>
        <w:t>As shown in Figure 3, when the mobile IAB node perform full migration (mobile IAB-</w:t>
      </w:r>
      <w:r>
        <w:rPr>
          <w:rFonts w:hint="eastAsia"/>
          <w:lang w:val="en-US" w:eastAsia="zh-CN"/>
        </w:rPr>
        <w:t xml:space="preserve">MT and </w:t>
      </w:r>
      <w:r>
        <w:rPr>
          <w:lang w:val="en-US" w:eastAsia="zh-CN"/>
        </w:rPr>
        <w:t>mobile IAB-</w:t>
      </w:r>
      <w:r>
        <w:rPr>
          <w:rFonts w:hint="eastAsia"/>
          <w:lang w:val="en-US" w:eastAsia="zh-CN"/>
        </w:rPr>
        <w:t>DU migrati</w:t>
      </w:r>
      <w:r>
        <w:rPr>
          <w:lang w:val="en-US" w:eastAsia="zh-CN"/>
        </w:rPr>
        <w:t>ng</w:t>
      </w:r>
      <w:r>
        <w:rPr>
          <w:rFonts w:hint="eastAsia"/>
          <w:lang w:val="en-US" w:eastAsia="zh-CN"/>
        </w:rPr>
        <w:t xml:space="preserve"> to </w:t>
      </w:r>
      <w:r>
        <w:rPr>
          <w:lang w:val="en-US" w:eastAsia="zh-CN"/>
        </w:rPr>
        <w:t>different</w:t>
      </w:r>
      <w:r>
        <w:rPr>
          <w:rFonts w:hint="eastAsia"/>
          <w:lang w:val="en-US" w:eastAsia="zh-CN"/>
        </w:rPr>
        <w:t xml:space="preserve"> donor</w:t>
      </w:r>
      <w:r>
        <w:rPr>
          <w:lang w:val="en-US" w:eastAsia="zh-CN"/>
        </w:rPr>
        <w:t>s</w:t>
      </w:r>
      <w:r>
        <w:t>), mobile IAB-MT migrating from Donor CU1 to Donor CU2 and mobile IAB-DU migrating from Donor CU1 to Donor CU3</w:t>
      </w:r>
      <w:r w:rsidRPr="005D75C5">
        <w:t>.</w:t>
      </w:r>
      <w:r>
        <w:t xml:space="preserve"> </w:t>
      </w:r>
      <w:r w:rsidR="00587AAA">
        <w:rPr>
          <w:rFonts w:hint="eastAsia"/>
        </w:rPr>
        <w:t>I</w:t>
      </w:r>
      <w:r w:rsidR="00587AAA">
        <w:t xml:space="preserve">n this case, the mobile IAB-MT’s donor (e.g. Donor CU2) can configure a TAC value to mobile IAB-MT via RRC </w:t>
      </w:r>
      <w:proofErr w:type="spellStart"/>
      <w:r w:rsidR="00587AAA">
        <w:t>signaling</w:t>
      </w:r>
      <w:proofErr w:type="spellEnd"/>
      <w:r w:rsidR="00587AAA">
        <w:t xml:space="preserve"> (e.g. </w:t>
      </w:r>
      <w:proofErr w:type="spellStart"/>
      <w:r w:rsidR="00587AAA">
        <w:t>RRCReconfiguration</w:t>
      </w:r>
      <w:proofErr w:type="spellEnd"/>
      <w:r w:rsidR="00587AAA">
        <w:t xml:space="preserve">) in mobile IAB-MT’s migration phase and then mobile IAB-MT </w:t>
      </w:r>
      <w:r w:rsidR="00587AAA">
        <w:rPr>
          <w:rFonts w:hint="eastAsia"/>
        </w:rPr>
        <w:t>delivers</w:t>
      </w:r>
      <w:r w:rsidR="00587AAA">
        <w:t xml:space="preserve"> the TAC value to its collocated mobile IAB-DU</w:t>
      </w:r>
      <w:r w:rsidR="00587AAA">
        <w:rPr>
          <w:rFonts w:hint="eastAsia"/>
        </w:rPr>
        <w:t xml:space="preserve">. </w:t>
      </w:r>
      <w:r w:rsidR="00587AAA">
        <w:t xml:space="preserve">Upon receiving the TAC value, mobile IAB-DU will compare the TAC value with the old one. If the configured TAC value is different with the old one, mobile IAB-DU can update the TAC value to its donor via legacy F1 </w:t>
      </w:r>
      <w:proofErr w:type="spellStart"/>
      <w:r w:rsidR="00587AAA">
        <w:t>signaling</w:t>
      </w:r>
      <w:proofErr w:type="spellEnd"/>
      <w:r w:rsidR="00587AAA">
        <w:t xml:space="preserve">. </w:t>
      </w:r>
      <w:r w:rsidR="00587AAA">
        <w:rPr>
          <w:rFonts w:hint="eastAsia"/>
        </w:rPr>
        <w:t xml:space="preserve">Alternatively, </w:t>
      </w:r>
      <w:r w:rsidR="00587AAA">
        <w:t xml:space="preserve">the mobile IAB-DU’s source donor (Donor CU1) can configure a TAC value to mobile IAB-DU via F1 </w:t>
      </w:r>
      <w:proofErr w:type="spellStart"/>
      <w:r w:rsidR="00587AAA">
        <w:t>signaling</w:t>
      </w:r>
      <w:proofErr w:type="spellEnd"/>
      <w:r w:rsidR="00587AAA">
        <w:t xml:space="preserve"> in F1 transport migration phase, or the mobile IAB-DU’s target donor (e.g. Donor CU3) can configure a TAC value to mobile IAB-DU via F1 </w:t>
      </w:r>
      <w:proofErr w:type="spellStart"/>
      <w:r w:rsidR="00587AAA">
        <w:t>signaling</w:t>
      </w:r>
      <w:proofErr w:type="spellEnd"/>
      <w:r w:rsidR="00421878">
        <w:t xml:space="preserve"> </w:t>
      </w:r>
      <w:r w:rsidR="00587AAA">
        <w:t xml:space="preserve">in mobile IAB-DU’s migration phase. In these two cases, the mobile IAB-DU’s target donor need to acquire some essential TAC information from mobile IAB-MT’s donor before configuring a TAC value to mobile IAB-DU. </w:t>
      </w:r>
    </w:p>
    <w:p w:rsidR="00587AAA" w:rsidRDefault="00587AAA" w:rsidP="00587AAA">
      <w:pPr>
        <w:jc w:val="both"/>
        <w:rPr>
          <w:b/>
          <w:lang w:val="en-US" w:eastAsia="zh-CN"/>
        </w:rPr>
      </w:pPr>
      <w:r w:rsidRPr="00F80C63">
        <w:rPr>
          <w:b/>
        </w:rPr>
        <w:t xml:space="preserve">Observation </w:t>
      </w:r>
      <w:r>
        <w:rPr>
          <w:b/>
        </w:rPr>
        <w:t>5</w:t>
      </w:r>
      <w:r w:rsidRPr="00F80C63">
        <w:rPr>
          <w:b/>
        </w:rPr>
        <w:t xml:space="preserve">: </w:t>
      </w:r>
      <w:r w:rsidRPr="00023DF0">
        <w:rPr>
          <w:b/>
          <w:lang w:val="en-US" w:eastAsia="zh-CN"/>
        </w:rPr>
        <w:t xml:space="preserve">For </w:t>
      </w:r>
      <w:r>
        <w:rPr>
          <w:b/>
          <w:lang w:val="en-US" w:eastAsia="zh-CN"/>
        </w:rPr>
        <w:t>full</w:t>
      </w:r>
      <w:r w:rsidRPr="00023DF0">
        <w:rPr>
          <w:b/>
          <w:lang w:val="en-US" w:eastAsia="zh-CN"/>
        </w:rPr>
        <w:t xml:space="preserve"> migration</w:t>
      </w:r>
      <w:r>
        <w:rPr>
          <w:b/>
          <w:lang w:val="en-US" w:eastAsia="zh-CN"/>
        </w:rPr>
        <w:t xml:space="preserve"> (</w:t>
      </w:r>
      <w:r w:rsidRPr="00F80C63">
        <w:rPr>
          <w:b/>
          <w:lang w:val="en-US" w:eastAsia="zh-CN"/>
        </w:rPr>
        <w:t xml:space="preserve">mobile IAB-MT and mobile IAB-DU migrating to </w:t>
      </w:r>
      <w:r>
        <w:rPr>
          <w:b/>
          <w:lang w:val="en-US" w:eastAsia="zh-CN"/>
        </w:rPr>
        <w:t>different</w:t>
      </w:r>
      <w:r w:rsidRPr="00F80C63">
        <w:rPr>
          <w:b/>
          <w:lang w:val="en-US" w:eastAsia="zh-CN"/>
        </w:rPr>
        <w:t xml:space="preserve"> donor</w:t>
      </w:r>
      <w:r>
        <w:rPr>
          <w:b/>
          <w:lang w:val="en-US" w:eastAsia="zh-CN"/>
        </w:rPr>
        <w:t>s)</w:t>
      </w:r>
      <w:r w:rsidRPr="00023DF0">
        <w:rPr>
          <w:b/>
          <w:lang w:val="en-US" w:eastAsia="zh-CN"/>
        </w:rPr>
        <w:t>,</w:t>
      </w:r>
      <w:r>
        <w:rPr>
          <w:b/>
          <w:lang w:val="en-US" w:eastAsia="zh-CN"/>
        </w:rPr>
        <w:t xml:space="preserve"> F1 signaling or RRC signaling can be used to transfer the new TAC if </w:t>
      </w:r>
      <w:proofErr w:type="spellStart"/>
      <w:r w:rsidRPr="00023DF0">
        <w:rPr>
          <w:b/>
          <w:lang w:val="en-US" w:eastAsia="zh-CN"/>
        </w:rPr>
        <w:t>gNB</w:t>
      </w:r>
      <w:proofErr w:type="spellEnd"/>
      <w:r w:rsidRPr="00023DF0">
        <w:rPr>
          <w:b/>
          <w:lang w:val="en-US" w:eastAsia="zh-CN"/>
        </w:rPr>
        <w:t xml:space="preserve"> determine to configure a new TAC value to the mobile IAB node</w:t>
      </w:r>
      <w:r>
        <w:rPr>
          <w:b/>
          <w:lang w:val="en-US" w:eastAsia="zh-CN"/>
        </w:rPr>
        <w:t>.</w:t>
      </w:r>
    </w:p>
    <w:p w:rsidR="00587AAA" w:rsidRPr="00A24B72" w:rsidRDefault="00587AAA" w:rsidP="00587AAA">
      <w:pPr>
        <w:jc w:val="both"/>
        <w:rPr>
          <w:lang w:val="en-US" w:eastAsia="zh-CN"/>
        </w:rPr>
      </w:pPr>
      <w:r>
        <w:rPr>
          <w:b/>
          <w:lang w:val="en-US" w:eastAsia="zh-CN"/>
        </w:rPr>
        <w:t xml:space="preserve">Observation 6: </w:t>
      </w:r>
      <w:r w:rsidRPr="00023DF0">
        <w:rPr>
          <w:b/>
          <w:lang w:val="en-US" w:eastAsia="zh-CN"/>
        </w:rPr>
        <w:t xml:space="preserve">For </w:t>
      </w:r>
      <w:r>
        <w:rPr>
          <w:b/>
          <w:lang w:val="en-US" w:eastAsia="zh-CN"/>
        </w:rPr>
        <w:t>full</w:t>
      </w:r>
      <w:r w:rsidRPr="00023DF0">
        <w:rPr>
          <w:b/>
          <w:lang w:val="en-US" w:eastAsia="zh-CN"/>
        </w:rPr>
        <w:t xml:space="preserve"> migration</w:t>
      </w:r>
      <w:r>
        <w:rPr>
          <w:b/>
          <w:lang w:val="en-US" w:eastAsia="zh-CN"/>
        </w:rPr>
        <w:t xml:space="preserve"> (</w:t>
      </w:r>
      <w:r w:rsidRPr="00F80C63">
        <w:rPr>
          <w:b/>
          <w:lang w:val="en-US" w:eastAsia="zh-CN"/>
        </w:rPr>
        <w:t xml:space="preserve">mobile IAB-MT and mobile IAB-DU migrating to </w:t>
      </w:r>
      <w:r>
        <w:rPr>
          <w:b/>
          <w:lang w:val="en-US" w:eastAsia="zh-CN"/>
        </w:rPr>
        <w:t>different</w:t>
      </w:r>
      <w:r w:rsidRPr="00F80C63">
        <w:rPr>
          <w:b/>
          <w:lang w:val="en-US" w:eastAsia="zh-CN"/>
        </w:rPr>
        <w:t xml:space="preserve"> donor</w:t>
      </w:r>
      <w:r>
        <w:rPr>
          <w:b/>
          <w:lang w:val="en-US" w:eastAsia="zh-CN"/>
        </w:rPr>
        <w:t>s)</w:t>
      </w:r>
      <w:r w:rsidRPr="00023DF0">
        <w:rPr>
          <w:b/>
          <w:lang w:val="en-US" w:eastAsia="zh-CN"/>
        </w:rPr>
        <w:t>,</w:t>
      </w:r>
      <w:r>
        <w:rPr>
          <w:b/>
          <w:lang w:val="en-US" w:eastAsia="zh-CN"/>
        </w:rPr>
        <w:t xml:space="preserve"> if </w:t>
      </w:r>
      <w:proofErr w:type="spellStart"/>
      <w:r w:rsidRPr="00023DF0">
        <w:rPr>
          <w:b/>
          <w:lang w:val="en-US" w:eastAsia="zh-CN"/>
        </w:rPr>
        <w:t>gNB</w:t>
      </w:r>
      <w:proofErr w:type="spellEnd"/>
      <w:r w:rsidRPr="00023DF0">
        <w:rPr>
          <w:b/>
          <w:lang w:val="en-US" w:eastAsia="zh-CN"/>
        </w:rPr>
        <w:t xml:space="preserve"> determine to configure a new TAC value to the mobile IAB node</w:t>
      </w:r>
      <w:r>
        <w:rPr>
          <w:b/>
          <w:lang w:val="en-US" w:eastAsia="zh-CN"/>
        </w:rPr>
        <w:t xml:space="preserve"> via F1 signaling, then mobile IAB-DU’s donor need to acquire some essential TAC information from mobile IAB-MT’s donor via </w:t>
      </w:r>
      <w:proofErr w:type="spellStart"/>
      <w:r>
        <w:rPr>
          <w:b/>
          <w:lang w:val="en-US" w:eastAsia="zh-CN"/>
        </w:rPr>
        <w:t>Xn</w:t>
      </w:r>
      <w:proofErr w:type="spellEnd"/>
      <w:r>
        <w:rPr>
          <w:b/>
          <w:lang w:val="en-US" w:eastAsia="zh-CN"/>
        </w:rPr>
        <w:t xml:space="preserve"> or NG.</w:t>
      </w:r>
    </w:p>
    <w:p w:rsidR="00587AAA" w:rsidRDefault="00587AAA" w:rsidP="00587AAA">
      <w:pPr>
        <w:overflowPunct w:val="0"/>
        <w:autoSpaceDE w:val="0"/>
        <w:autoSpaceDN w:val="0"/>
        <w:adjustRightInd w:val="0"/>
        <w:spacing w:beforeLines="50" w:before="156"/>
        <w:jc w:val="both"/>
      </w:pPr>
      <w:r>
        <w:t xml:space="preserve">In addition, we can also directly align the TAC value of the mobile IAB node with the TAC value in the SIB of the parent node without distinguishing the type of migration. To be specific, after receiving </w:t>
      </w:r>
      <w:r>
        <w:rPr>
          <w:rFonts w:hint="eastAsia"/>
        </w:rPr>
        <w:t>the handover command during</w:t>
      </w:r>
      <w:r>
        <w:t xml:space="preserve"> mobile-IAB MT’s migration procedure, mobile IAB-node can acquire TAC value </w:t>
      </w:r>
      <w:r>
        <w:rPr>
          <w:rFonts w:hint="eastAsia"/>
        </w:rPr>
        <w:t>from</w:t>
      </w:r>
      <w:r>
        <w:t xml:space="preserve"> target parent node’s SIB. If the TAC is different with the old one, mobile IAB node can update TAC value to mobile IAB-DU’s donor via F1 </w:t>
      </w:r>
      <w:proofErr w:type="spellStart"/>
      <w:r>
        <w:t>signaling</w:t>
      </w:r>
      <w:proofErr w:type="spellEnd"/>
      <w:r>
        <w:t xml:space="preserve">. Upon receiving acknowledge from mobile IAB-DU’s donor, mobile IAB-DU broadcast the new TAC in SIB. However, if the mobile IAB cell’s TAC is same as the TAC value of its parent node, forbidden Tracking Area mechanism will not work for the UE that does not support CAG functionality. Firstly, AMF need to configure a forbidden TA list to the UE when the UE does not support CAG functionality and is not allowed to access the mobile IAB node. And the TAC of the mobile IAB node need to be included in the configured forbidden TA list. And at this time, the mobile IAB cell’s TAC is same </w:t>
      </w:r>
      <w:r>
        <w:lastRenderedPageBreak/>
        <w:t xml:space="preserve">as the TAC value of its parent node, so the UE cannot access the mobile IAB node’s parent cell normally. </w:t>
      </w:r>
      <w:r w:rsidRPr="0087754F">
        <w:t>Therefore, the function of the UE to access a normal cell is affected, which is unreasonable.</w:t>
      </w:r>
    </w:p>
    <w:p w:rsidR="00587AAA" w:rsidRPr="0087754F" w:rsidRDefault="00587AAA" w:rsidP="00587AAA">
      <w:pPr>
        <w:overflowPunct w:val="0"/>
        <w:autoSpaceDE w:val="0"/>
        <w:autoSpaceDN w:val="0"/>
        <w:adjustRightInd w:val="0"/>
        <w:spacing w:beforeLines="50" w:before="156"/>
        <w:jc w:val="both"/>
        <w:rPr>
          <w:b/>
        </w:rPr>
      </w:pPr>
      <w:r w:rsidRPr="00F80C63">
        <w:rPr>
          <w:b/>
        </w:rPr>
        <w:t xml:space="preserve">Observation </w:t>
      </w:r>
      <w:r>
        <w:rPr>
          <w:b/>
        </w:rPr>
        <w:t>7</w:t>
      </w:r>
      <w:r w:rsidRPr="00F80C63">
        <w:rPr>
          <w:b/>
        </w:rPr>
        <w:t>:</w:t>
      </w:r>
      <w:r w:rsidRPr="0087754F">
        <w:rPr>
          <w:b/>
        </w:rPr>
        <w:t xml:space="preserve"> </w:t>
      </w:r>
      <w:r>
        <w:rPr>
          <w:b/>
        </w:rPr>
        <w:t>I</w:t>
      </w:r>
      <w:r w:rsidRPr="0087754F">
        <w:rPr>
          <w:b/>
        </w:rPr>
        <w:t xml:space="preserve">f the mobile IAB cell’s TAC is </w:t>
      </w:r>
      <w:r>
        <w:rPr>
          <w:b/>
        </w:rPr>
        <w:t xml:space="preserve">directly aligned with </w:t>
      </w:r>
      <w:r w:rsidRPr="0087754F">
        <w:rPr>
          <w:b/>
        </w:rPr>
        <w:t>the TAC value of its parent node, forbidden Tracking Area mechanism will not work for the UE that does not support CAG functionality.</w:t>
      </w:r>
    </w:p>
    <w:p w:rsidR="00587AAA" w:rsidRPr="00F80C63" w:rsidRDefault="00587AAA" w:rsidP="00587AAA">
      <w:pPr>
        <w:jc w:val="both"/>
        <w:rPr>
          <w:lang w:eastAsia="zh-CN"/>
        </w:rPr>
      </w:pPr>
      <w:r>
        <w:t xml:space="preserve">In summary, there may be more spec impact if the TAC value is configured by mobile IAB-DU’s donor (e.g. </w:t>
      </w:r>
      <w:proofErr w:type="spellStart"/>
      <w:r>
        <w:t>Xn</w:t>
      </w:r>
      <w:proofErr w:type="spellEnd"/>
      <w:r>
        <w:t xml:space="preserve"> and NG need to be enhanced in the case of inter-</w:t>
      </w:r>
      <w:proofErr w:type="spellStart"/>
      <w:r>
        <w:t>gNB</w:t>
      </w:r>
      <w:proofErr w:type="spellEnd"/>
      <w:r>
        <w:t xml:space="preserve"> partial migration and full migration (</w:t>
      </w:r>
      <w:r w:rsidRPr="003C3811">
        <w:rPr>
          <w:lang w:val="en-US" w:eastAsia="zh-CN"/>
        </w:rPr>
        <w:t>mobile IAB-MT and mobile IAB-DU migrating to different donors</w:t>
      </w:r>
      <w:r>
        <w:t>)). While TAC align with the TAC value broadcast by the parent cell of mobile IAB node, forbidden Tracking Area mechanism will not work. So we prefer t</w:t>
      </w:r>
      <w:r>
        <w:rPr>
          <w:rFonts w:hint="eastAsia"/>
        </w:rPr>
        <w:t xml:space="preserve">he TAC value </w:t>
      </w:r>
      <w:r>
        <w:t xml:space="preserve">that are broadcast in a </w:t>
      </w:r>
      <w:r>
        <w:rPr>
          <w:rFonts w:hint="eastAsia"/>
        </w:rPr>
        <w:t xml:space="preserve">mobile IAB </w:t>
      </w:r>
      <w:r>
        <w:t xml:space="preserve">cell's system information </w:t>
      </w:r>
      <w:r>
        <w:rPr>
          <w:rFonts w:hint="eastAsia"/>
        </w:rPr>
        <w:t xml:space="preserve">can be </w:t>
      </w:r>
      <w:r>
        <w:t>configured</w:t>
      </w:r>
      <w:r>
        <w:rPr>
          <w:rFonts w:hint="eastAsia"/>
        </w:rPr>
        <w:t xml:space="preserve"> </w:t>
      </w:r>
      <w:r>
        <w:t xml:space="preserve">by mobile IAB-MT and </w:t>
      </w:r>
      <w:proofErr w:type="spellStart"/>
      <w:r>
        <w:t>RRCReconfiguration</w:t>
      </w:r>
      <w:proofErr w:type="spellEnd"/>
      <w:r>
        <w:t xml:space="preserve"> message need to be enhanced</w:t>
      </w:r>
      <w:r>
        <w:rPr>
          <w:rFonts w:hint="eastAsia"/>
        </w:rPr>
        <w:t>.</w:t>
      </w:r>
      <w:r>
        <w:t xml:space="preserve"> Furthermore, the scheme of configuring TAC by mobile IAB-MT is in the mobile-IAB MT’s migration phase, which is common for various migrations (intra-</w:t>
      </w:r>
      <w:proofErr w:type="spellStart"/>
      <w:r>
        <w:t>gNB</w:t>
      </w:r>
      <w:proofErr w:type="spellEnd"/>
      <w:r>
        <w:t xml:space="preserve"> partial migration, inter-</w:t>
      </w:r>
      <w:proofErr w:type="spellStart"/>
      <w:r>
        <w:t>gNB</w:t>
      </w:r>
      <w:proofErr w:type="spellEnd"/>
      <w:r>
        <w:t xml:space="preserve"> partial migration, full migration). </w:t>
      </w:r>
      <w:r w:rsidRPr="003C3811">
        <w:t>We prefer a unified solution</w:t>
      </w:r>
      <w:r>
        <w:t>.</w:t>
      </w:r>
    </w:p>
    <w:p w:rsidR="008506AA" w:rsidRDefault="00587AAA" w:rsidP="00587AAA">
      <w:pPr>
        <w:overflowPunct w:val="0"/>
        <w:autoSpaceDE w:val="0"/>
        <w:autoSpaceDN w:val="0"/>
        <w:adjustRightInd w:val="0"/>
        <w:spacing w:beforeLines="50" w:before="156"/>
        <w:jc w:val="both"/>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w:t>
      </w:r>
      <w:r>
        <w:rPr>
          <w:b/>
          <w:bCs/>
        </w:rPr>
        <w:t xml:space="preserve">Mobile IAB-MT’s donor can configure a TAC value to mobile IAB-MT via RRC </w:t>
      </w:r>
      <w:proofErr w:type="spellStart"/>
      <w:r>
        <w:rPr>
          <w:b/>
          <w:bCs/>
        </w:rPr>
        <w:t>signaling</w:t>
      </w:r>
      <w:proofErr w:type="spellEnd"/>
      <w:r>
        <w:rPr>
          <w:b/>
          <w:bCs/>
        </w:rPr>
        <w:t xml:space="preserve"> and then mobile IAB-MT </w:t>
      </w:r>
      <w:r>
        <w:rPr>
          <w:rFonts w:hint="eastAsia"/>
          <w:b/>
          <w:bCs/>
        </w:rPr>
        <w:t>delivers</w:t>
      </w:r>
      <w:r>
        <w:rPr>
          <w:b/>
          <w:bCs/>
        </w:rPr>
        <w:t xml:space="preserve"> the TAC value to its collocated mobile IAB-DU for SIB broadcasting</w:t>
      </w:r>
      <w:r>
        <w:rPr>
          <w:rFonts w:hint="eastAsia"/>
          <w:b/>
          <w:bCs/>
        </w:rPr>
        <w:t>.</w:t>
      </w:r>
    </w:p>
    <w:p w:rsidR="008506AA" w:rsidRDefault="003D39C9">
      <w:pPr>
        <w:pStyle w:val="2"/>
        <w:ind w:left="200" w:right="200"/>
        <w:rPr>
          <w:lang w:val="en-US" w:eastAsia="zh-CN"/>
        </w:rPr>
      </w:pPr>
      <w:r>
        <w:rPr>
          <w:rFonts w:hint="eastAsia"/>
          <w:lang w:val="en-US" w:eastAsia="zh-CN"/>
        </w:rPr>
        <w:t>RNA configuration</w:t>
      </w:r>
    </w:p>
    <w:p w:rsidR="008506AA" w:rsidRDefault="003D39C9">
      <w:pPr>
        <w:overflowPunct w:val="0"/>
        <w:autoSpaceDE w:val="0"/>
        <w:autoSpaceDN w:val="0"/>
        <w:adjustRightInd w:val="0"/>
        <w:spacing w:beforeLines="50" w:before="156"/>
        <w:jc w:val="both"/>
        <w:rPr>
          <w:lang w:val="en-US" w:eastAsia="zh-CN"/>
        </w:rPr>
      </w:pPr>
      <w:r>
        <w:rPr>
          <w:rFonts w:hint="eastAsia"/>
          <w:lang w:val="en-US" w:eastAsia="zh-CN"/>
        </w:rPr>
        <w:t xml:space="preserve">In addition to TA configuration, the </w:t>
      </w:r>
      <w:proofErr w:type="gramStart"/>
      <w:r>
        <w:rPr>
          <w:rFonts w:hint="eastAsia"/>
          <w:lang w:val="en-US" w:eastAsia="zh-CN"/>
        </w:rPr>
        <w:t>RNA(</w:t>
      </w:r>
      <w:proofErr w:type="gramEnd"/>
      <w:r>
        <w:rPr>
          <w:rFonts w:hint="eastAsia"/>
          <w:lang w:val="en-US" w:eastAsia="zh-CN"/>
        </w:rPr>
        <w:t xml:space="preserve">RAN Notification Area) configuration should be discussed in RAN. For NR system, the UE is allowed to enter RRC_INACTIVE state. Before entering the RRC_INACTIVE state, the UE is configured by the last serving </w:t>
      </w:r>
      <w:proofErr w:type="spellStart"/>
      <w:r>
        <w:rPr>
          <w:rFonts w:hint="eastAsia"/>
          <w:lang w:val="en-US" w:eastAsia="zh-CN"/>
        </w:rPr>
        <w:t>gNB</w:t>
      </w:r>
      <w:proofErr w:type="spellEnd"/>
      <w:r>
        <w:rPr>
          <w:rFonts w:hint="eastAsia"/>
          <w:lang w:val="en-US" w:eastAsia="zh-CN"/>
        </w:rPr>
        <w:t xml:space="preserve"> with an RNA. The RNA can cover one or multiple cells, and should be </w:t>
      </w:r>
      <w:r>
        <w:t xml:space="preserve">a subset of </w:t>
      </w:r>
      <w:r>
        <w:rPr>
          <w:rFonts w:hint="eastAsia"/>
          <w:lang w:val="en-US" w:eastAsia="zh-CN"/>
        </w:rPr>
        <w:t xml:space="preserve">or equal to </w:t>
      </w:r>
      <w:r>
        <w:t>a CN Tracking Area</w:t>
      </w:r>
      <w:r>
        <w:rPr>
          <w:rFonts w:hint="eastAsia"/>
          <w:lang w:val="en-US" w:eastAsia="zh-CN"/>
        </w:rPr>
        <w:t xml:space="preserve">. To be specific, the RNA may be configured via a list of cells or a list of RAN Area Code (RANAC) or TAC. The involved cells will </w:t>
      </w:r>
      <w:r>
        <w:t xml:space="preserve">broadcast one </w:t>
      </w:r>
      <w:r>
        <w:rPr>
          <w:rFonts w:hint="eastAsia"/>
          <w:lang w:val="en-US" w:eastAsia="zh-CN"/>
        </w:rPr>
        <w:t>RANAC</w:t>
      </w:r>
      <w:r>
        <w:t xml:space="preserve"> in the </w:t>
      </w:r>
      <w:r>
        <w:rPr>
          <w:rFonts w:hint="eastAsia"/>
          <w:lang w:val="en-US" w:eastAsia="zh-CN"/>
        </w:rPr>
        <w:t>SIB1 if the RNA is defined via RANAC</w:t>
      </w:r>
      <w:r>
        <w:t>.</w:t>
      </w:r>
      <w:r>
        <w:rPr>
          <w:rFonts w:hint="eastAsia"/>
          <w:lang w:val="en-US" w:eastAsia="zh-CN"/>
        </w:rPr>
        <w:t xml:space="preserve"> UE needs to perform RNAU</w:t>
      </w:r>
      <w:r>
        <w:t xml:space="preserve"> when the UE </w:t>
      </w:r>
      <w:r>
        <w:rPr>
          <w:rFonts w:hint="eastAsia"/>
          <w:lang w:val="en-US" w:eastAsia="zh-CN"/>
        </w:rPr>
        <w:t>re-</w:t>
      </w:r>
      <w:r>
        <w:t xml:space="preserve">selects a cell that does not belong to </w:t>
      </w:r>
      <w:r>
        <w:rPr>
          <w:rFonts w:hint="eastAsia"/>
          <w:lang w:val="en-US" w:eastAsia="zh-CN"/>
        </w:rPr>
        <w:t>its previously</w:t>
      </w:r>
      <w:r>
        <w:t xml:space="preserve"> configured RNA.</w:t>
      </w:r>
      <w:r>
        <w:rPr>
          <w:rFonts w:hint="eastAsia"/>
          <w:lang w:val="en-US" w:eastAsia="zh-CN"/>
        </w:rPr>
        <w:t xml:space="preserve"> When UE performs RNAU, it may initiate the RRC connection resumption procedure toward </w:t>
      </w:r>
      <w:proofErr w:type="spellStart"/>
      <w:r>
        <w:rPr>
          <w:rFonts w:hint="eastAsia"/>
          <w:lang w:val="en-US" w:eastAsia="zh-CN"/>
        </w:rPr>
        <w:t>gNB</w:t>
      </w:r>
      <w:proofErr w:type="spellEnd"/>
      <w:r>
        <w:rPr>
          <w:rFonts w:hint="eastAsia"/>
          <w:lang w:val="en-US" w:eastAsia="zh-CN"/>
        </w:rPr>
        <w:t xml:space="preserve">, </w:t>
      </w:r>
      <w:r>
        <w:rPr>
          <w:rFonts w:eastAsia="MS Mincho"/>
        </w:rPr>
        <w:t xml:space="preserve">providing the I-RNTI allocated by the last serving </w:t>
      </w:r>
      <w:proofErr w:type="spellStart"/>
      <w:r>
        <w:rPr>
          <w:rFonts w:eastAsia="MS Mincho"/>
        </w:rPr>
        <w:t>gNB</w:t>
      </w:r>
      <w:proofErr w:type="spellEnd"/>
      <w:r>
        <w:rPr>
          <w:rFonts w:eastAsia="MS Mincho"/>
        </w:rPr>
        <w:t xml:space="preserve"> and appropriate cause value.</w:t>
      </w:r>
      <w:r>
        <w:rPr>
          <w:rFonts w:hint="eastAsia"/>
          <w:lang w:val="en-US" w:eastAsia="zh-CN"/>
        </w:rPr>
        <w:t xml:space="preserve"> </w:t>
      </w:r>
    </w:p>
    <w:p w:rsidR="008506AA" w:rsidRDefault="003D39C9">
      <w:pPr>
        <w:overflowPunct w:val="0"/>
        <w:autoSpaceDE w:val="0"/>
        <w:autoSpaceDN w:val="0"/>
        <w:adjustRightInd w:val="0"/>
        <w:spacing w:beforeLines="50" w:before="156"/>
        <w:jc w:val="both"/>
        <w:rPr>
          <w:lang w:val="en-US" w:eastAsia="zh-CN"/>
        </w:rPr>
      </w:pPr>
      <w:r>
        <w:rPr>
          <w:rFonts w:hint="eastAsia"/>
          <w:lang w:val="en-US" w:eastAsia="zh-CN"/>
        </w:rPr>
        <w:t xml:space="preserve">With it comes to the mobile IAB scenario, the mobile IAB node moves together with the vehicles, which may be across different RNAs. Similar to the TAU, the RNAU in mobile IAB scenario also involves a large group of UEs and should be avoided. Generally speaking, the following two cases should be considered: </w:t>
      </w:r>
    </w:p>
    <w:p w:rsidR="008506AA" w:rsidRDefault="003D39C9">
      <w:pPr>
        <w:numPr>
          <w:ilvl w:val="0"/>
          <w:numId w:val="14"/>
        </w:numPr>
        <w:rPr>
          <w:rFonts w:eastAsia="Dutch801BT-Roman"/>
          <w:b/>
          <w:bCs/>
          <w:sz w:val="21"/>
          <w:szCs w:val="21"/>
        </w:rPr>
      </w:pPr>
      <w:r>
        <w:rPr>
          <w:rFonts w:hint="eastAsia"/>
          <w:b/>
          <w:bCs/>
          <w:sz w:val="21"/>
          <w:szCs w:val="21"/>
          <w:lang w:val="en-US" w:eastAsia="zh-CN"/>
        </w:rPr>
        <w:t>RNA is configured via RANAC</w:t>
      </w:r>
    </w:p>
    <w:p w:rsidR="008506AA" w:rsidRDefault="003D39C9">
      <w:pPr>
        <w:jc w:val="both"/>
        <w:rPr>
          <w:lang w:val="en-US" w:eastAsia="zh-CN"/>
        </w:rPr>
      </w:pPr>
      <w:r>
        <w:rPr>
          <w:rFonts w:hint="eastAsia"/>
          <w:lang w:val="en-US" w:eastAsia="zh-CN"/>
        </w:rPr>
        <w:t xml:space="preserve">When the mobile IAB-node performs HO from source donor to target donor, the mobile IAB-MT may detect that </w:t>
      </w:r>
      <w:r>
        <w:t xml:space="preserve">the </w:t>
      </w:r>
      <w:r>
        <w:rPr>
          <w:rFonts w:hint="eastAsia"/>
          <w:lang w:val="en-US" w:eastAsia="zh-CN"/>
        </w:rPr>
        <w:t>RANAC of target donor</w:t>
      </w:r>
      <w:r>
        <w:rPr>
          <w:lang w:val="en-US" w:eastAsia="zh-CN"/>
        </w:rPr>
        <w:t>’</w:t>
      </w:r>
      <w:r>
        <w:rPr>
          <w:rFonts w:hint="eastAsia"/>
          <w:lang w:val="en-US" w:eastAsia="zh-CN"/>
        </w:rPr>
        <w:t>s cell is different from the RANAC broadcast by co-located mobile IAB-DU. In order to keep the UE reachability within RAN area, the mobile IAB-DU</w:t>
      </w:r>
      <w:r>
        <w:rPr>
          <w:lang w:val="en-US" w:eastAsia="zh-CN"/>
        </w:rPr>
        <w:t>’</w:t>
      </w:r>
      <w:r>
        <w:rPr>
          <w:rFonts w:hint="eastAsia"/>
          <w:lang w:val="en-US" w:eastAsia="zh-CN"/>
        </w:rPr>
        <w:t>s cells may change the RANAC values broadcast in system information to keep align with the cell of parent donor. Alternatively, the target donor CU may send the RANAC configuration to mobile IAB-DU and then mobile IAB-DU</w:t>
      </w:r>
      <w:r>
        <w:rPr>
          <w:lang w:val="en-US" w:eastAsia="zh-CN"/>
        </w:rPr>
        <w:t>’</w:t>
      </w:r>
      <w:r>
        <w:rPr>
          <w:rFonts w:hint="eastAsia"/>
          <w:lang w:val="en-US" w:eastAsia="zh-CN"/>
        </w:rPr>
        <w:t xml:space="preserve">s cell broadcast this RANAC value in system information. </w:t>
      </w:r>
    </w:p>
    <w:p w:rsidR="008506AA" w:rsidRDefault="003D39C9">
      <w:pPr>
        <w:jc w:val="both"/>
        <w:rPr>
          <w:rFonts w:eastAsia="等线"/>
          <w:lang w:val="en-US" w:eastAsia="zh-CN"/>
        </w:rPr>
      </w:pPr>
      <w:r>
        <w:rPr>
          <w:rFonts w:hint="eastAsia"/>
          <w:lang w:val="en-US" w:eastAsia="zh-CN"/>
        </w:rPr>
        <w:t>In order to reduce the RNAU of RRC_INACTIVE UEs served by the mobile IAB-DU</w:t>
      </w:r>
      <w:r>
        <w:rPr>
          <w:lang w:val="en-US" w:eastAsia="zh-CN"/>
        </w:rPr>
        <w:t>’</w:t>
      </w:r>
      <w:r>
        <w:rPr>
          <w:rFonts w:hint="eastAsia"/>
          <w:lang w:val="en-US" w:eastAsia="zh-CN"/>
        </w:rPr>
        <w:t>s cell, it is suggested that the donor CU of mobile IAB node provide UEs served by the mobile IAB-DU</w:t>
      </w:r>
      <w:r>
        <w:rPr>
          <w:lang w:val="en-US" w:eastAsia="zh-CN"/>
        </w:rPr>
        <w:t>’</w:t>
      </w:r>
      <w:r>
        <w:rPr>
          <w:rFonts w:hint="eastAsia"/>
          <w:lang w:val="en-US" w:eastAsia="zh-CN"/>
        </w:rPr>
        <w:t xml:space="preserve">s cell with a list RANACs, which potentially will be broadcast by the mobile IAB node along the movement and where the </w:t>
      </w:r>
      <w:proofErr w:type="spellStart"/>
      <w:r>
        <w:rPr>
          <w:rFonts w:hint="eastAsia"/>
          <w:lang w:val="en-US" w:eastAsia="zh-CN"/>
        </w:rPr>
        <w:t>Xn</w:t>
      </w:r>
      <w:proofErr w:type="spellEnd"/>
      <w:r>
        <w:rPr>
          <w:rFonts w:hint="eastAsia"/>
          <w:lang w:val="en-US" w:eastAsia="zh-CN"/>
        </w:rPr>
        <w:t xml:space="preserve"> connection is available between donor CU and potential target CUs for mobile IAB node. In this way, the UEs served by the mobile IAB node </w:t>
      </w:r>
      <w:r>
        <w:rPr>
          <w:rFonts w:eastAsia="等线"/>
          <w:lang w:eastAsia="ko-KR"/>
        </w:rPr>
        <w:t xml:space="preserve">do not need to perform </w:t>
      </w:r>
      <w:r>
        <w:rPr>
          <w:rFonts w:eastAsia="等线" w:hint="eastAsia"/>
          <w:lang w:val="en-US" w:eastAsia="zh-CN"/>
        </w:rPr>
        <w:t xml:space="preserve">RNAU </w:t>
      </w:r>
      <w:proofErr w:type="spellStart"/>
      <w:r>
        <w:rPr>
          <w:rFonts w:eastAsia="等线" w:hint="eastAsia"/>
          <w:lang w:val="en-US" w:eastAsia="zh-CN"/>
        </w:rPr>
        <w:t>whe</w:t>
      </w:r>
      <w:proofErr w:type="spellEnd"/>
      <w:r>
        <w:rPr>
          <w:rFonts w:eastAsia="等线"/>
          <w:lang w:eastAsia="ko-KR"/>
        </w:rPr>
        <w:t xml:space="preserve">n the </w:t>
      </w:r>
      <w:r>
        <w:rPr>
          <w:rFonts w:eastAsia="等线" w:hint="eastAsia"/>
          <w:lang w:val="en-US" w:eastAsia="zh-CN"/>
        </w:rPr>
        <w:t>mobile IAB-DU</w:t>
      </w:r>
      <w:r>
        <w:rPr>
          <w:rFonts w:eastAsia="等线"/>
          <w:lang w:eastAsia="ko-KR"/>
        </w:rPr>
        <w:t xml:space="preserve"> changes </w:t>
      </w:r>
      <w:r>
        <w:rPr>
          <w:rFonts w:eastAsia="等线" w:hint="eastAsia"/>
          <w:lang w:val="en-US" w:eastAsia="zh-CN"/>
        </w:rPr>
        <w:t>RANAC</w:t>
      </w:r>
      <w:r>
        <w:rPr>
          <w:rFonts w:eastAsia="等线"/>
          <w:lang w:eastAsia="ko-KR"/>
        </w:rPr>
        <w:t>s</w:t>
      </w:r>
      <w:r>
        <w:rPr>
          <w:rFonts w:eastAsia="等线" w:hint="eastAsia"/>
          <w:lang w:val="en-US" w:eastAsia="zh-CN"/>
        </w:rPr>
        <w:t xml:space="preserve">. </w:t>
      </w:r>
    </w:p>
    <w:p w:rsidR="008506AA" w:rsidRDefault="003D39C9">
      <w:pPr>
        <w:jc w:val="both"/>
        <w:rPr>
          <w:b/>
          <w:bCs/>
          <w:lang w:val="en-US" w:eastAsia="zh-CN"/>
        </w:rPr>
      </w:pPr>
      <w:r>
        <w:rPr>
          <w:rFonts w:hint="eastAsia"/>
          <w:b/>
          <w:bCs/>
          <w:sz w:val="21"/>
          <w:szCs w:val="21"/>
          <w:lang w:val="en-US" w:eastAsia="zh-CN"/>
        </w:rPr>
        <w:t xml:space="preserve">Proposal </w:t>
      </w:r>
      <w:r w:rsidR="00587AAA">
        <w:rPr>
          <w:b/>
          <w:bCs/>
          <w:sz w:val="21"/>
          <w:szCs w:val="21"/>
          <w:lang w:val="en-US" w:eastAsia="zh-CN"/>
        </w:rPr>
        <w:t>3</w:t>
      </w:r>
      <w:r>
        <w:rPr>
          <w:rFonts w:hint="eastAsia"/>
          <w:b/>
          <w:bCs/>
          <w:sz w:val="21"/>
          <w:szCs w:val="21"/>
          <w:lang w:val="en-US" w:eastAsia="zh-CN"/>
        </w:rPr>
        <w:t>: For the RNA configuration via RANAC, the RANAC values that are broadcast by mobile IAB-DU</w:t>
      </w:r>
      <w:r>
        <w:rPr>
          <w:b/>
          <w:bCs/>
          <w:sz w:val="21"/>
          <w:szCs w:val="21"/>
          <w:lang w:val="en-US" w:eastAsia="zh-CN"/>
        </w:rPr>
        <w:t>’</w:t>
      </w:r>
      <w:r>
        <w:rPr>
          <w:rFonts w:hint="eastAsia"/>
          <w:b/>
          <w:bCs/>
          <w:sz w:val="21"/>
          <w:szCs w:val="21"/>
          <w:lang w:val="en-US" w:eastAsia="zh-CN"/>
        </w:rPr>
        <w:t xml:space="preserve">s cells may </w:t>
      </w:r>
      <w:r>
        <w:rPr>
          <w:rFonts w:hint="eastAsia"/>
          <w:b/>
          <w:bCs/>
          <w:lang w:val="en-US" w:eastAsia="zh-CN"/>
        </w:rPr>
        <w:t>change with the serving donor.</w:t>
      </w:r>
    </w:p>
    <w:p w:rsidR="008506AA" w:rsidRDefault="003D39C9">
      <w:pPr>
        <w:numPr>
          <w:ilvl w:val="0"/>
          <w:numId w:val="14"/>
        </w:numPr>
        <w:rPr>
          <w:lang w:val="en-US" w:eastAsia="zh-CN"/>
        </w:rPr>
      </w:pPr>
      <w:r>
        <w:rPr>
          <w:rFonts w:hint="eastAsia"/>
          <w:b/>
          <w:bCs/>
          <w:sz w:val="21"/>
          <w:szCs w:val="21"/>
          <w:lang w:val="en-US" w:eastAsia="zh-CN"/>
        </w:rPr>
        <w:lastRenderedPageBreak/>
        <w:t xml:space="preserve">RNA is configured via a list of NCGIs </w:t>
      </w:r>
    </w:p>
    <w:p w:rsidR="008506AA" w:rsidRDefault="003D39C9">
      <w:pPr>
        <w:jc w:val="both"/>
        <w:rPr>
          <w:lang w:val="en-US" w:eastAsia="zh-CN"/>
        </w:rPr>
      </w:pPr>
      <w:r>
        <w:rPr>
          <w:rFonts w:hint="eastAsia"/>
          <w:lang w:val="en-US" w:eastAsia="zh-CN"/>
        </w:rPr>
        <w:t xml:space="preserve">Suppose the UE is configured with a list of cells for RNA when entering into RRC_INACTIVE state, the UEs served by the mobile IAB-DU may detect that the NCGI change of mobile IAB-DU when the mobile IAB node performs HO. It is very likely that the new NCGI of mobile IAB-DU is not included in the list of cells for UE's RNA and the RRC_INACTIVE UE served by the mobile IAB-DU will perform the RNAU procedure. In order to reduce unnecessary RNAU, it is suggested that the RRC_INACTIVE UE served by the cells of mobile IAB-node-DU replace the old NCGI with the new one in its cell list of RAN area.  </w:t>
      </w:r>
    </w:p>
    <w:p w:rsidR="008506AA" w:rsidRDefault="003D39C9">
      <w:pPr>
        <w:jc w:val="both"/>
        <w:rPr>
          <w:b/>
          <w:bCs/>
          <w:lang w:val="en-US" w:eastAsia="zh-CN"/>
        </w:rPr>
      </w:pPr>
      <w:r>
        <w:rPr>
          <w:rFonts w:hint="eastAsia"/>
          <w:b/>
          <w:bCs/>
          <w:lang w:val="en-US" w:eastAsia="zh-CN"/>
        </w:rPr>
        <w:t xml:space="preserve">Proposal </w:t>
      </w:r>
      <w:r w:rsidR="00587AAA">
        <w:rPr>
          <w:b/>
          <w:bCs/>
          <w:lang w:val="en-US" w:eastAsia="zh-CN"/>
        </w:rPr>
        <w:t>4</w:t>
      </w:r>
      <w:r>
        <w:rPr>
          <w:rFonts w:hint="eastAsia"/>
          <w:b/>
          <w:bCs/>
          <w:lang w:val="en-US" w:eastAsia="zh-CN"/>
        </w:rPr>
        <w:t xml:space="preserve">: For the RNA configuration via RANAC, the UE may </w:t>
      </w:r>
      <w:r>
        <w:rPr>
          <w:rFonts w:hint="eastAsia"/>
          <w:b/>
          <w:bCs/>
          <w:sz w:val="21"/>
          <w:szCs w:val="21"/>
          <w:lang w:val="en-US" w:eastAsia="zh-CN"/>
        </w:rPr>
        <w:t>replace the old NCGI with new NCGI of mobile IAB-node-DU</w:t>
      </w:r>
      <w:r>
        <w:rPr>
          <w:b/>
          <w:bCs/>
          <w:sz w:val="21"/>
          <w:szCs w:val="21"/>
          <w:lang w:val="en-US" w:eastAsia="zh-CN"/>
        </w:rPr>
        <w:t>’</w:t>
      </w:r>
      <w:r>
        <w:rPr>
          <w:rFonts w:hint="eastAsia"/>
          <w:b/>
          <w:bCs/>
          <w:sz w:val="21"/>
          <w:szCs w:val="21"/>
          <w:lang w:val="en-US" w:eastAsia="zh-CN"/>
        </w:rPr>
        <w:t>s cell for the cells included in the RNA configuration.</w:t>
      </w:r>
    </w:p>
    <w:p w:rsidR="008506AA" w:rsidRDefault="003D39C9">
      <w:pPr>
        <w:pStyle w:val="1"/>
        <w:jc w:val="both"/>
        <w:rPr>
          <w:rFonts w:eastAsia="宋体"/>
          <w:lang w:eastAsia="zh-CN"/>
        </w:rPr>
      </w:pPr>
      <w:bookmarkStart w:id="2" w:name="OLE_LINK2"/>
      <w:bookmarkStart w:id="3" w:name="OLE_LINK1"/>
      <w:bookmarkEnd w:id="0"/>
      <w:r>
        <w:rPr>
          <w:rFonts w:eastAsia="宋体" w:hint="eastAsia"/>
          <w:lang w:eastAsia="zh-CN"/>
        </w:rPr>
        <w:t>Conclusion</w:t>
      </w:r>
    </w:p>
    <w:bookmarkEnd w:id="2"/>
    <w:bookmarkEnd w:id="3"/>
    <w:p w:rsidR="008506AA" w:rsidRDefault="003D39C9">
      <w:pPr>
        <w:overflowPunct w:val="0"/>
        <w:autoSpaceDE w:val="0"/>
        <w:autoSpaceDN w:val="0"/>
        <w:adjustRightInd w:val="0"/>
        <w:spacing w:beforeLines="50" w:before="156"/>
        <w:jc w:val="both"/>
        <w:rPr>
          <w:lang w:val="en-US" w:eastAsia="zh-CN"/>
        </w:rPr>
      </w:pPr>
      <w:r>
        <w:rPr>
          <w:lang w:val="en-US" w:eastAsia="zh-CN"/>
        </w:rPr>
        <w:t xml:space="preserve">In this contribution, </w:t>
      </w:r>
      <w:r>
        <w:rPr>
          <w:rFonts w:hint="eastAsia"/>
          <w:lang w:val="en-US" w:eastAsia="zh-CN"/>
        </w:rPr>
        <w:t>we focus on the remaining issues for mobile IAB and present our point of view</w:t>
      </w:r>
      <w:r>
        <w:rPr>
          <w:lang w:val="en-US" w:eastAsia="zh-CN"/>
        </w:rPr>
        <w:t>.</w:t>
      </w:r>
      <w:r>
        <w:rPr>
          <w:rFonts w:hint="eastAsia"/>
          <w:lang w:val="en-US" w:eastAsia="zh-CN"/>
        </w:rPr>
        <w:t xml:space="preserve"> The following proposals are given:</w:t>
      </w:r>
    </w:p>
    <w:p w:rsidR="00691912" w:rsidRDefault="00691912" w:rsidP="00691912">
      <w:pPr>
        <w:jc w:val="both"/>
        <w:rPr>
          <w:b/>
          <w:lang w:val="en-US" w:eastAsia="zh-CN"/>
        </w:rPr>
      </w:pPr>
      <w:r>
        <w:rPr>
          <w:b/>
          <w:lang w:val="en-US" w:eastAsia="zh-CN"/>
        </w:rPr>
        <w:t xml:space="preserve">Observation 1: </w:t>
      </w:r>
      <w:r w:rsidRPr="00023DF0">
        <w:rPr>
          <w:b/>
          <w:lang w:val="en-US" w:eastAsia="zh-CN"/>
        </w:rPr>
        <w:t>For intra-</w:t>
      </w:r>
      <w:proofErr w:type="spellStart"/>
      <w:r w:rsidRPr="00023DF0">
        <w:rPr>
          <w:b/>
          <w:lang w:val="en-US" w:eastAsia="zh-CN"/>
        </w:rPr>
        <w:t>gNB</w:t>
      </w:r>
      <w:proofErr w:type="spellEnd"/>
      <w:r w:rsidRPr="00023DF0">
        <w:rPr>
          <w:b/>
          <w:lang w:val="en-US" w:eastAsia="zh-CN"/>
        </w:rPr>
        <w:t xml:space="preserve"> partial migration,</w:t>
      </w:r>
      <w:r>
        <w:rPr>
          <w:b/>
          <w:lang w:val="en-US" w:eastAsia="zh-CN"/>
        </w:rPr>
        <w:t xml:space="preserve"> F1 signaling or RRC signaling can be used to transfer the new TAC if </w:t>
      </w:r>
      <w:proofErr w:type="spellStart"/>
      <w:r w:rsidRPr="00023DF0">
        <w:rPr>
          <w:b/>
          <w:lang w:val="en-US" w:eastAsia="zh-CN"/>
        </w:rPr>
        <w:t>gNB</w:t>
      </w:r>
      <w:proofErr w:type="spellEnd"/>
      <w:r w:rsidRPr="00023DF0">
        <w:rPr>
          <w:b/>
          <w:lang w:val="en-US" w:eastAsia="zh-CN"/>
        </w:rPr>
        <w:t xml:space="preserve"> determine to configure a new TAC value to the mobile IAB node</w:t>
      </w:r>
      <w:r>
        <w:rPr>
          <w:b/>
          <w:lang w:val="en-US" w:eastAsia="zh-CN"/>
        </w:rPr>
        <w:t>.</w:t>
      </w:r>
    </w:p>
    <w:p w:rsidR="00691912" w:rsidRDefault="00691912" w:rsidP="00691912">
      <w:pPr>
        <w:jc w:val="both"/>
        <w:rPr>
          <w:b/>
          <w:lang w:val="en-US" w:eastAsia="zh-CN"/>
        </w:rPr>
      </w:pPr>
      <w:r>
        <w:rPr>
          <w:b/>
          <w:lang w:val="en-US" w:eastAsia="zh-CN"/>
        </w:rPr>
        <w:t xml:space="preserve">Observation 2: </w:t>
      </w:r>
      <w:r w:rsidRPr="00023DF0">
        <w:rPr>
          <w:b/>
          <w:lang w:val="en-US" w:eastAsia="zh-CN"/>
        </w:rPr>
        <w:t>For int</w:t>
      </w:r>
      <w:r>
        <w:rPr>
          <w:b/>
          <w:lang w:val="en-US" w:eastAsia="zh-CN"/>
        </w:rPr>
        <w:t>er</w:t>
      </w:r>
      <w:r w:rsidRPr="00023DF0">
        <w:rPr>
          <w:b/>
          <w:lang w:val="en-US" w:eastAsia="zh-CN"/>
        </w:rPr>
        <w:t>-</w:t>
      </w:r>
      <w:proofErr w:type="spellStart"/>
      <w:r w:rsidRPr="00023DF0">
        <w:rPr>
          <w:b/>
          <w:lang w:val="en-US" w:eastAsia="zh-CN"/>
        </w:rPr>
        <w:t>gNB</w:t>
      </w:r>
      <w:proofErr w:type="spellEnd"/>
      <w:r w:rsidRPr="00023DF0">
        <w:rPr>
          <w:b/>
          <w:lang w:val="en-US" w:eastAsia="zh-CN"/>
        </w:rPr>
        <w:t xml:space="preserve"> partial migration,</w:t>
      </w:r>
      <w:r>
        <w:rPr>
          <w:b/>
          <w:lang w:val="en-US" w:eastAsia="zh-CN"/>
        </w:rPr>
        <w:t xml:space="preserve"> F1 signaling or RRC signaling can be used to transfer the new TAC if </w:t>
      </w:r>
      <w:proofErr w:type="spellStart"/>
      <w:r w:rsidRPr="00023DF0">
        <w:rPr>
          <w:b/>
          <w:lang w:val="en-US" w:eastAsia="zh-CN"/>
        </w:rPr>
        <w:t>gNB</w:t>
      </w:r>
      <w:proofErr w:type="spellEnd"/>
      <w:r w:rsidRPr="00023DF0">
        <w:rPr>
          <w:b/>
          <w:lang w:val="en-US" w:eastAsia="zh-CN"/>
        </w:rPr>
        <w:t xml:space="preserve"> determine to configure a new TAC value to the mobile IAB node</w:t>
      </w:r>
      <w:r>
        <w:rPr>
          <w:b/>
          <w:lang w:val="en-US" w:eastAsia="zh-CN"/>
        </w:rPr>
        <w:t>.</w:t>
      </w:r>
    </w:p>
    <w:p w:rsidR="00691912" w:rsidRDefault="00691912" w:rsidP="00691912">
      <w:pPr>
        <w:jc w:val="both"/>
        <w:rPr>
          <w:b/>
          <w:lang w:val="en-US" w:eastAsia="zh-CN"/>
        </w:rPr>
      </w:pPr>
      <w:r>
        <w:rPr>
          <w:b/>
          <w:lang w:val="en-US" w:eastAsia="zh-CN"/>
        </w:rPr>
        <w:t xml:space="preserve">Observation 3: </w:t>
      </w:r>
      <w:r w:rsidRPr="00023DF0">
        <w:rPr>
          <w:b/>
          <w:lang w:val="en-US" w:eastAsia="zh-CN"/>
        </w:rPr>
        <w:t>For int</w:t>
      </w:r>
      <w:r>
        <w:rPr>
          <w:b/>
          <w:lang w:val="en-US" w:eastAsia="zh-CN"/>
        </w:rPr>
        <w:t>er</w:t>
      </w:r>
      <w:r w:rsidRPr="00023DF0">
        <w:rPr>
          <w:b/>
          <w:lang w:val="en-US" w:eastAsia="zh-CN"/>
        </w:rPr>
        <w:t>-</w:t>
      </w:r>
      <w:proofErr w:type="spellStart"/>
      <w:r w:rsidRPr="00023DF0">
        <w:rPr>
          <w:b/>
          <w:lang w:val="en-US" w:eastAsia="zh-CN"/>
        </w:rPr>
        <w:t>gNB</w:t>
      </w:r>
      <w:proofErr w:type="spellEnd"/>
      <w:r w:rsidRPr="00023DF0">
        <w:rPr>
          <w:b/>
          <w:lang w:val="en-US" w:eastAsia="zh-CN"/>
        </w:rPr>
        <w:t xml:space="preserve"> partial migration,</w:t>
      </w:r>
      <w:r>
        <w:rPr>
          <w:b/>
          <w:lang w:val="en-US" w:eastAsia="zh-CN"/>
        </w:rPr>
        <w:t xml:space="preserve"> if </w:t>
      </w:r>
      <w:proofErr w:type="spellStart"/>
      <w:r>
        <w:rPr>
          <w:b/>
          <w:lang w:val="en-US" w:eastAsia="zh-CN"/>
        </w:rPr>
        <w:t>gNB</w:t>
      </w:r>
      <w:proofErr w:type="spellEnd"/>
      <w:r>
        <w:rPr>
          <w:b/>
          <w:lang w:val="en-US" w:eastAsia="zh-CN"/>
        </w:rPr>
        <w:t xml:space="preserve"> determine to configure a new TAC value to mobile IAB node via F1 signaling, then mobile IAB-DU’s donor need to acquire some essential TAC information from mobile IAB-MT’s donor via </w:t>
      </w:r>
      <w:proofErr w:type="spellStart"/>
      <w:r>
        <w:rPr>
          <w:b/>
          <w:lang w:val="en-US" w:eastAsia="zh-CN"/>
        </w:rPr>
        <w:t>Xn</w:t>
      </w:r>
      <w:proofErr w:type="spellEnd"/>
      <w:r>
        <w:rPr>
          <w:b/>
          <w:lang w:val="en-US" w:eastAsia="zh-CN"/>
        </w:rPr>
        <w:t xml:space="preserve"> or NG.</w:t>
      </w:r>
    </w:p>
    <w:p w:rsidR="00691912" w:rsidRDefault="00691912" w:rsidP="00691912">
      <w:pPr>
        <w:jc w:val="both"/>
        <w:rPr>
          <w:b/>
          <w:lang w:val="en-US" w:eastAsia="zh-CN"/>
        </w:rPr>
      </w:pPr>
      <w:r w:rsidRPr="00F80C63">
        <w:rPr>
          <w:b/>
        </w:rPr>
        <w:t xml:space="preserve">Observation 4: </w:t>
      </w:r>
      <w:r w:rsidRPr="00023DF0">
        <w:rPr>
          <w:b/>
          <w:lang w:val="en-US" w:eastAsia="zh-CN"/>
        </w:rPr>
        <w:t xml:space="preserve">For </w:t>
      </w:r>
      <w:r>
        <w:rPr>
          <w:b/>
          <w:lang w:val="en-US" w:eastAsia="zh-CN"/>
        </w:rPr>
        <w:t>full</w:t>
      </w:r>
      <w:r w:rsidRPr="00023DF0">
        <w:rPr>
          <w:b/>
          <w:lang w:val="en-US" w:eastAsia="zh-CN"/>
        </w:rPr>
        <w:t xml:space="preserve"> migration</w:t>
      </w:r>
      <w:r>
        <w:rPr>
          <w:b/>
          <w:lang w:val="en-US" w:eastAsia="zh-CN"/>
        </w:rPr>
        <w:t xml:space="preserve"> (</w:t>
      </w:r>
      <w:r w:rsidRPr="00F80C63">
        <w:rPr>
          <w:b/>
          <w:lang w:val="en-US" w:eastAsia="zh-CN"/>
        </w:rPr>
        <w:t>mobile IAB-MT and mobile IAB-DU migrating to a same donor</w:t>
      </w:r>
      <w:r>
        <w:rPr>
          <w:b/>
          <w:lang w:val="en-US" w:eastAsia="zh-CN"/>
        </w:rPr>
        <w:t>)</w:t>
      </w:r>
      <w:r w:rsidRPr="00023DF0">
        <w:rPr>
          <w:b/>
          <w:lang w:val="en-US" w:eastAsia="zh-CN"/>
        </w:rPr>
        <w:t>,</w:t>
      </w:r>
      <w:r>
        <w:rPr>
          <w:b/>
          <w:lang w:val="en-US" w:eastAsia="zh-CN"/>
        </w:rPr>
        <w:t xml:space="preserve"> F1 signaling or RRC signaling can be used to transfer the new TAC if </w:t>
      </w:r>
      <w:proofErr w:type="spellStart"/>
      <w:r w:rsidRPr="00023DF0">
        <w:rPr>
          <w:b/>
          <w:lang w:val="en-US" w:eastAsia="zh-CN"/>
        </w:rPr>
        <w:t>gNB</w:t>
      </w:r>
      <w:proofErr w:type="spellEnd"/>
      <w:r w:rsidRPr="00023DF0">
        <w:rPr>
          <w:b/>
          <w:lang w:val="en-US" w:eastAsia="zh-CN"/>
        </w:rPr>
        <w:t xml:space="preserve"> determine to configure a new TAC value to the mobile IAB node</w:t>
      </w:r>
      <w:r>
        <w:rPr>
          <w:b/>
          <w:lang w:val="en-US" w:eastAsia="zh-CN"/>
        </w:rPr>
        <w:t>.</w:t>
      </w:r>
    </w:p>
    <w:p w:rsidR="00691912" w:rsidRDefault="00691912" w:rsidP="00691912">
      <w:pPr>
        <w:jc w:val="both"/>
        <w:rPr>
          <w:b/>
          <w:lang w:val="en-US" w:eastAsia="zh-CN"/>
        </w:rPr>
      </w:pPr>
      <w:r w:rsidRPr="00F80C63">
        <w:rPr>
          <w:b/>
        </w:rPr>
        <w:t xml:space="preserve">Observation </w:t>
      </w:r>
      <w:r>
        <w:rPr>
          <w:b/>
        </w:rPr>
        <w:t>5</w:t>
      </w:r>
      <w:r w:rsidRPr="00F80C63">
        <w:rPr>
          <w:b/>
        </w:rPr>
        <w:t xml:space="preserve">: </w:t>
      </w:r>
      <w:r w:rsidRPr="00023DF0">
        <w:rPr>
          <w:b/>
          <w:lang w:val="en-US" w:eastAsia="zh-CN"/>
        </w:rPr>
        <w:t xml:space="preserve">For </w:t>
      </w:r>
      <w:r>
        <w:rPr>
          <w:b/>
          <w:lang w:val="en-US" w:eastAsia="zh-CN"/>
        </w:rPr>
        <w:t>full</w:t>
      </w:r>
      <w:r w:rsidRPr="00023DF0">
        <w:rPr>
          <w:b/>
          <w:lang w:val="en-US" w:eastAsia="zh-CN"/>
        </w:rPr>
        <w:t xml:space="preserve"> migration</w:t>
      </w:r>
      <w:r>
        <w:rPr>
          <w:b/>
          <w:lang w:val="en-US" w:eastAsia="zh-CN"/>
        </w:rPr>
        <w:t xml:space="preserve"> (</w:t>
      </w:r>
      <w:r w:rsidRPr="00F80C63">
        <w:rPr>
          <w:b/>
          <w:lang w:val="en-US" w:eastAsia="zh-CN"/>
        </w:rPr>
        <w:t xml:space="preserve">mobile IAB-MT and mobile IAB-DU migrating to </w:t>
      </w:r>
      <w:r>
        <w:rPr>
          <w:b/>
          <w:lang w:val="en-US" w:eastAsia="zh-CN"/>
        </w:rPr>
        <w:t>different</w:t>
      </w:r>
      <w:r w:rsidRPr="00F80C63">
        <w:rPr>
          <w:b/>
          <w:lang w:val="en-US" w:eastAsia="zh-CN"/>
        </w:rPr>
        <w:t xml:space="preserve"> donor</w:t>
      </w:r>
      <w:r>
        <w:rPr>
          <w:b/>
          <w:lang w:val="en-US" w:eastAsia="zh-CN"/>
        </w:rPr>
        <w:t>s)</w:t>
      </w:r>
      <w:r w:rsidRPr="00023DF0">
        <w:rPr>
          <w:b/>
          <w:lang w:val="en-US" w:eastAsia="zh-CN"/>
        </w:rPr>
        <w:t>,</w:t>
      </w:r>
      <w:r>
        <w:rPr>
          <w:b/>
          <w:lang w:val="en-US" w:eastAsia="zh-CN"/>
        </w:rPr>
        <w:t xml:space="preserve"> F1 signaling or RRC signaling can be used to transfer the new TAC if </w:t>
      </w:r>
      <w:proofErr w:type="spellStart"/>
      <w:r w:rsidRPr="00023DF0">
        <w:rPr>
          <w:b/>
          <w:lang w:val="en-US" w:eastAsia="zh-CN"/>
        </w:rPr>
        <w:t>gNB</w:t>
      </w:r>
      <w:proofErr w:type="spellEnd"/>
      <w:r w:rsidRPr="00023DF0">
        <w:rPr>
          <w:b/>
          <w:lang w:val="en-US" w:eastAsia="zh-CN"/>
        </w:rPr>
        <w:t xml:space="preserve"> determine to configure a new TAC value to the mobile IAB node</w:t>
      </w:r>
      <w:r>
        <w:rPr>
          <w:b/>
          <w:lang w:val="en-US" w:eastAsia="zh-CN"/>
        </w:rPr>
        <w:t>.</w:t>
      </w:r>
    </w:p>
    <w:p w:rsidR="00691912" w:rsidRDefault="00691912" w:rsidP="00691912">
      <w:pPr>
        <w:jc w:val="both"/>
        <w:rPr>
          <w:b/>
          <w:lang w:val="en-US" w:eastAsia="zh-CN"/>
        </w:rPr>
      </w:pPr>
      <w:r>
        <w:rPr>
          <w:b/>
          <w:lang w:val="en-US" w:eastAsia="zh-CN"/>
        </w:rPr>
        <w:t xml:space="preserve">Observation 6: </w:t>
      </w:r>
      <w:r w:rsidRPr="00023DF0">
        <w:rPr>
          <w:b/>
          <w:lang w:val="en-US" w:eastAsia="zh-CN"/>
        </w:rPr>
        <w:t xml:space="preserve">For </w:t>
      </w:r>
      <w:r>
        <w:rPr>
          <w:b/>
          <w:lang w:val="en-US" w:eastAsia="zh-CN"/>
        </w:rPr>
        <w:t>full</w:t>
      </w:r>
      <w:r w:rsidRPr="00023DF0">
        <w:rPr>
          <w:b/>
          <w:lang w:val="en-US" w:eastAsia="zh-CN"/>
        </w:rPr>
        <w:t xml:space="preserve"> migration</w:t>
      </w:r>
      <w:r>
        <w:rPr>
          <w:b/>
          <w:lang w:val="en-US" w:eastAsia="zh-CN"/>
        </w:rPr>
        <w:t xml:space="preserve"> (</w:t>
      </w:r>
      <w:r w:rsidRPr="00F80C63">
        <w:rPr>
          <w:b/>
          <w:lang w:val="en-US" w:eastAsia="zh-CN"/>
        </w:rPr>
        <w:t xml:space="preserve">mobile IAB-MT and mobile IAB-DU migrating to </w:t>
      </w:r>
      <w:r>
        <w:rPr>
          <w:b/>
          <w:lang w:val="en-US" w:eastAsia="zh-CN"/>
        </w:rPr>
        <w:t>different</w:t>
      </w:r>
      <w:r w:rsidRPr="00F80C63">
        <w:rPr>
          <w:b/>
          <w:lang w:val="en-US" w:eastAsia="zh-CN"/>
        </w:rPr>
        <w:t xml:space="preserve"> donor</w:t>
      </w:r>
      <w:r>
        <w:rPr>
          <w:b/>
          <w:lang w:val="en-US" w:eastAsia="zh-CN"/>
        </w:rPr>
        <w:t>s)</w:t>
      </w:r>
      <w:r w:rsidRPr="00023DF0">
        <w:rPr>
          <w:b/>
          <w:lang w:val="en-US" w:eastAsia="zh-CN"/>
        </w:rPr>
        <w:t>,</w:t>
      </w:r>
      <w:r>
        <w:rPr>
          <w:b/>
          <w:lang w:val="en-US" w:eastAsia="zh-CN"/>
        </w:rPr>
        <w:t xml:space="preserve"> if </w:t>
      </w:r>
      <w:proofErr w:type="spellStart"/>
      <w:r w:rsidRPr="00023DF0">
        <w:rPr>
          <w:b/>
          <w:lang w:val="en-US" w:eastAsia="zh-CN"/>
        </w:rPr>
        <w:t>gNB</w:t>
      </w:r>
      <w:proofErr w:type="spellEnd"/>
      <w:r w:rsidRPr="00023DF0">
        <w:rPr>
          <w:b/>
          <w:lang w:val="en-US" w:eastAsia="zh-CN"/>
        </w:rPr>
        <w:t xml:space="preserve"> determine to configure a new TAC value to the mobile IAB node</w:t>
      </w:r>
      <w:r>
        <w:rPr>
          <w:b/>
          <w:lang w:val="en-US" w:eastAsia="zh-CN"/>
        </w:rPr>
        <w:t xml:space="preserve"> via F1 signaling, then mobile IAB-DU’s donor need to acquire some essential TAC information from mobile IAB-MT’s donor via </w:t>
      </w:r>
      <w:proofErr w:type="spellStart"/>
      <w:r>
        <w:rPr>
          <w:b/>
          <w:lang w:val="en-US" w:eastAsia="zh-CN"/>
        </w:rPr>
        <w:t>Xn</w:t>
      </w:r>
      <w:proofErr w:type="spellEnd"/>
      <w:r>
        <w:rPr>
          <w:b/>
          <w:lang w:val="en-US" w:eastAsia="zh-CN"/>
        </w:rPr>
        <w:t xml:space="preserve"> or NG.</w:t>
      </w:r>
    </w:p>
    <w:p w:rsidR="00691912" w:rsidRPr="007F6C03" w:rsidRDefault="00691912" w:rsidP="00691912">
      <w:pPr>
        <w:jc w:val="both"/>
        <w:rPr>
          <w:lang w:val="en-US" w:eastAsia="zh-CN"/>
        </w:rPr>
      </w:pPr>
      <w:r w:rsidRPr="00F80C63">
        <w:rPr>
          <w:b/>
        </w:rPr>
        <w:t xml:space="preserve">Observation </w:t>
      </w:r>
      <w:r>
        <w:rPr>
          <w:b/>
        </w:rPr>
        <w:t>7</w:t>
      </w:r>
      <w:r w:rsidRPr="00F80C63">
        <w:rPr>
          <w:b/>
        </w:rPr>
        <w:t>:</w:t>
      </w:r>
      <w:r w:rsidRPr="0087754F">
        <w:rPr>
          <w:b/>
        </w:rPr>
        <w:t xml:space="preserve"> </w:t>
      </w:r>
      <w:r>
        <w:rPr>
          <w:b/>
        </w:rPr>
        <w:t>I</w:t>
      </w:r>
      <w:r w:rsidRPr="0087754F">
        <w:rPr>
          <w:b/>
        </w:rPr>
        <w:t xml:space="preserve">f the mobile IAB cell’s TAC is </w:t>
      </w:r>
      <w:r>
        <w:rPr>
          <w:b/>
        </w:rPr>
        <w:t xml:space="preserve">directly aligned with </w:t>
      </w:r>
      <w:r w:rsidRPr="0087754F">
        <w:rPr>
          <w:b/>
        </w:rPr>
        <w:t>the TAC value of its parent node, forbidden Tracking Area mechanism will not work for the UE that does not support CAG functionality.</w:t>
      </w:r>
    </w:p>
    <w:p w:rsidR="008506AA" w:rsidRDefault="00691912" w:rsidP="00691912">
      <w:pPr>
        <w:overflowPunct w:val="0"/>
        <w:autoSpaceDE w:val="0"/>
        <w:autoSpaceDN w:val="0"/>
        <w:adjustRightInd w:val="0"/>
        <w:spacing w:beforeLines="50" w:before="156"/>
        <w:jc w:val="both"/>
        <w:rPr>
          <w:b/>
          <w:bCs/>
          <w:lang w:val="en-US" w:eastAsia="zh-CN"/>
        </w:rPr>
      </w:pPr>
      <w:r w:rsidRPr="00023DF0">
        <w:rPr>
          <w:b/>
          <w:lang w:val="en-US" w:eastAsia="zh-CN"/>
        </w:rPr>
        <w:t>Proposal 1: For intra-</w:t>
      </w:r>
      <w:proofErr w:type="spellStart"/>
      <w:r w:rsidRPr="00023DF0">
        <w:rPr>
          <w:b/>
          <w:lang w:val="en-US" w:eastAsia="zh-CN"/>
        </w:rPr>
        <w:t>gNB</w:t>
      </w:r>
      <w:proofErr w:type="spellEnd"/>
      <w:r w:rsidRPr="00023DF0">
        <w:rPr>
          <w:b/>
          <w:lang w:val="en-US" w:eastAsia="zh-CN"/>
        </w:rPr>
        <w:t xml:space="preserve"> partial migration, </w:t>
      </w:r>
      <w:proofErr w:type="spellStart"/>
      <w:r w:rsidRPr="00023DF0">
        <w:rPr>
          <w:b/>
          <w:lang w:val="en-US" w:eastAsia="zh-CN"/>
        </w:rPr>
        <w:t>gNB</w:t>
      </w:r>
      <w:proofErr w:type="spellEnd"/>
      <w:r w:rsidRPr="00023DF0">
        <w:rPr>
          <w:b/>
          <w:lang w:val="en-US" w:eastAsia="zh-CN"/>
        </w:rPr>
        <w:t xml:space="preserve"> can determine whether to configure a new TAC value to the mobile IAB node.</w:t>
      </w:r>
    </w:p>
    <w:p w:rsidR="008506AA" w:rsidRDefault="00691912">
      <w:pPr>
        <w:jc w:val="both"/>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w:t>
      </w:r>
      <w:r>
        <w:rPr>
          <w:b/>
          <w:bCs/>
        </w:rPr>
        <w:t xml:space="preserve">Mobile IAB-MT’s donor can configure a TAC value to mobile IAB-MT via RRC </w:t>
      </w:r>
      <w:proofErr w:type="spellStart"/>
      <w:r>
        <w:rPr>
          <w:b/>
          <w:bCs/>
        </w:rPr>
        <w:t>signaling</w:t>
      </w:r>
      <w:proofErr w:type="spellEnd"/>
      <w:r>
        <w:rPr>
          <w:b/>
          <w:bCs/>
        </w:rPr>
        <w:t xml:space="preserve"> and then mobile IAB-MT </w:t>
      </w:r>
      <w:r>
        <w:rPr>
          <w:rFonts w:hint="eastAsia"/>
          <w:b/>
          <w:bCs/>
        </w:rPr>
        <w:t>delivers</w:t>
      </w:r>
      <w:r>
        <w:rPr>
          <w:b/>
          <w:bCs/>
        </w:rPr>
        <w:t xml:space="preserve"> the TAC value to its collocated mobile IAB-DU for SIB broadcasting</w:t>
      </w:r>
      <w:r>
        <w:rPr>
          <w:rFonts w:hint="eastAsia"/>
          <w:b/>
          <w:bCs/>
        </w:rPr>
        <w:t>.</w:t>
      </w:r>
    </w:p>
    <w:p w:rsidR="008506AA" w:rsidRDefault="00691912">
      <w:pPr>
        <w:jc w:val="both"/>
        <w:rPr>
          <w:b/>
          <w:bCs/>
          <w:lang w:val="en-US" w:eastAsia="zh-CN"/>
        </w:rPr>
      </w:pPr>
      <w:r>
        <w:rPr>
          <w:rFonts w:hint="eastAsia"/>
          <w:b/>
          <w:bCs/>
          <w:sz w:val="21"/>
          <w:szCs w:val="21"/>
          <w:lang w:val="en-US" w:eastAsia="zh-CN"/>
        </w:rPr>
        <w:t xml:space="preserve">Proposal </w:t>
      </w:r>
      <w:r>
        <w:rPr>
          <w:b/>
          <w:bCs/>
          <w:sz w:val="21"/>
          <w:szCs w:val="21"/>
          <w:lang w:val="en-US" w:eastAsia="zh-CN"/>
        </w:rPr>
        <w:t>3</w:t>
      </w:r>
      <w:r>
        <w:rPr>
          <w:rFonts w:hint="eastAsia"/>
          <w:b/>
          <w:bCs/>
          <w:sz w:val="21"/>
          <w:szCs w:val="21"/>
          <w:lang w:val="en-US" w:eastAsia="zh-CN"/>
        </w:rPr>
        <w:t>: For the RNA configuration via RANAC, the RANAC values that are broadcast by mobile IAB-DU</w:t>
      </w:r>
      <w:r>
        <w:rPr>
          <w:b/>
          <w:bCs/>
          <w:sz w:val="21"/>
          <w:szCs w:val="21"/>
          <w:lang w:val="en-US" w:eastAsia="zh-CN"/>
        </w:rPr>
        <w:t>’</w:t>
      </w:r>
      <w:r>
        <w:rPr>
          <w:rFonts w:hint="eastAsia"/>
          <w:b/>
          <w:bCs/>
          <w:sz w:val="21"/>
          <w:szCs w:val="21"/>
          <w:lang w:val="en-US" w:eastAsia="zh-CN"/>
        </w:rPr>
        <w:t xml:space="preserve">s cells may </w:t>
      </w:r>
      <w:r>
        <w:rPr>
          <w:rFonts w:hint="eastAsia"/>
          <w:b/>
          <w:bCs/>
          <w:lang w:val="en-US" w:eastAsia="zh-CN"/>
        </w:rPr>
        <w:t>change with the serving donor.</w:t>
      </w:r>
    </w:p>
    <w:p w:rsidR="00691912" w:rsidRDefault="00691912">
      <w:pPr>
        <w:jc w:val="both"/>
        <w:rPr>
          <w:b/>
          <w:bCs/>
          <w:lang w:val="en-US" w:eastAsia="zh-CN"/>
        </w:rPr>
      </w:pPr>
      <w:r>
        <w:rPr>
          <w:rFonts w:hint="eastAsia"/>
          <w:b/>
          <w:bCs/>
          <w:lang w:val="en-US" w:eastAsia="zh-CN"/>
        </w:rPr>
        <w:lastRenderedPageBreak/>
        <w:t xml:space="preserve">Proposal </w:t>
      </w:r>
      <w:r>
        <w:rPr>
          <w:b/>
          <w:bCs/>
          <w:lang w:val="en-US" w:eastAsia="zh-CN"/>
        </w:rPr>
        <w:t>4</w:t>
      </w:r>
      <w:r>
        <w:rPr>
          <w:rFonts w:hint="eastAsia"/>
          <w:b/>
          <w:bCs/>
          <w:lang w:val="en-US" w:eastAsia="zh-CN"/>
        </w:rPr>
        <w:t xml:space="preserve">: For the RNA configuration via RANAC, the UE may </w:t>
      </w:r>
      <w:r>
        <w:rPr>
          <w:rFonts w:hint="eastAsia"/>
          <w:b/>
          <w:bCs/>
          <w:sz w:val="21"/>
          <w:szCs w:val="21"/>
          <w:lang w:val="en-US" w:eastAsia="zh-CN"/>
        </w:rPr>
        <w:t>replace the old NCGI with new NCGI of mobile IAB-node-DU</w:t>
      </w:r>
      <w:r>
        <w:rPr>
          <w:b/>
          <w:bCs/>
          <w:sz w:val="21"/>
          <w:szCs w:val="21"/>
          <w:lang w:val="en-US" w:eastAsia="zh-CN"/>
        </w:rPr>
        <w:t>’</w:t>
      </w:r>
      <w:r>
        <w:rPr>
          <w:rFonts w:hint="eastAsia"/>
          <w:b/>
          <w:bCs/>
          <w:sz w:val="21"/>
          <w:szCs w:val="21"/>
          <w:lang w:val="en-US" w:eastAsia="zh-CN"/>
        </w:rPr>
        <w:t>s cell for the cells included in the RNA configuration.</w:t>
      </w:r>
    </w:p>
    <w:p w:rsidR="008506AA" w:rsidRDefault="003D39C9">
      <w:pPr>
        <w:pStyle w:val="1"/>
        <w:rPr>
          <w:rFonts w:eastAsia="宋体"/>
          <w:lang w:eastAsia="zh-CN"/>
        </w:rPr>
      </w:pPr>
      <w:r>
        <w:rPr>
          <w:rFonts w:eastAsia="宋体" w:hint="eastAsia"/>
          <w:lang w:eastAsia="zh-CN"/>
        </w:rPr>
        <w:t>Reference</w:t>
      </w:r>
    </w:p>
    <w:p w:rsidR="008506AA" w:rsidRDefault="003D39C9">
      <w:pPr>
        <w:numPr>
          <w:ilvl w:val="0"/>
          <w:numId w:val="15"/>
        </w:numPr>
        <w:rPr>
          <w:lang w:val="en-US" w:eastAsia="zh-CN"/>
        </w:rPr>
      </w:pPr>
      <w:r>
        <w:rPr>
          <w:rFonts w:hint="eastAsia"/>
          <w:lang w:val="en-US" w:eastAsia="zh-CN"/>
        </w:rPr>
        <w:t>RAN2#1</w:t>
      </w:r>
      <w:r w:rsidR="00CE7E08">
        <w:rPr>
          <w:lang w:val="en-US" w:eastAsia="zh-CN"/>
        </w:rPr>
        <w:t>20</w:t>
      </w:r>
      <w:r>
        <w:rPr>
          <w:rFonts w:hint="eastAsia"/>
          <w:lang w:val="en-US" w:eastAsia="zh-CN"/>
        </w:rPr>
        <w:t xml:space="preserve"> Chairman notes.</w:t>
      </w:r>
    </w:p>
    <w:sectPr w:rsidR="008506AA">
      <w:footerReference w:type="default" r:id="rId10"/>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1450" w:rsidRDefault="000A1450">
      <w:pPr>
        <w:spacing w:after="0"/>
      </w:pPr>
      <w:r>
        <w:separator/>
      </w:r>
    </w:p>
  </w:endnote>
  <w:endnote w:type="continuationSeparator" w:id="0">
    <w:p w:rsidR="000A1450" w:rsidRDefault="000A1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Dutch801BT-Roman">
    <w:altName w:val="Segoe Print"/>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6AA" w:rsidRDefault="003D39C9">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1450" w:rsidRDefault="000A1450">
      <w:pPr>
        <w:spacing w:after="0"/>
      </w:pPr>
      <w:r>
        <w:separator/>
      </w:r>
    </w:p>
  </w:footnote>
  <w:footnote w:type="continuationSeparator" w:id="0">
    <w:p w:rsidR="000A1450" w:rsidRDefault="000A14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4212C9"/>
    <w:multiLevelType w:val="singleLevel"/>
    <w:tmpl w:val="944212C9"/>
    <w:lvl w:ilvl="0">
      <w:start w:val="1"/>
      <w:numFmt w:val="decimal"/>
      <w:suff w:val="space"/>
      <w:lvlText w:val="[%1]"/>
      <w:lvlJc w:val="left"/>
    </w:lvl>
  </w:abstractNum>
  <w:abstractNum w:abstractNumId="1"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start w:val="1"/>
      <w:numFmt w:val="decimal"/>
      <w:pStyle w:val="3"/>
      <w:suff w:val="nothing"/>
      <w:lvlText w:val="%1.%2.%3  "/>
      <w:lvlJc w:val="left"/>
      <w:pPr>
        <w:ind w:left="2978" w:firstLine="0"/>
      </w:pPr>
      <w:rPr>
        <w:rFonts w:ascii="Arial" w:hAnsi="Arial"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3EB0F33"/>
    <w:multiLevelType w:val="multilevel"/>
    <w:tmpl w:val="33EB0F33"/>
    <w:lvl w:ilvl="0">
      <w:start w:val="1"/>
      <w:numFmt w:val="bullet"/>
      <w:lvlText w:val=""/>
      <w:lvlJc w:val="left"/>
      <w:pPr>
        <w:ind w:left="420" w:hanging="420"/>
      </w:pPr>
      <w:rPr>
        <w:rFonts w:ascii="Wingdings" w:hAnsi="Wingdings"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1"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24A7491"/>
    <w:multiLevelType w:val="singleLevel"/>
    <w:tmpl w:val="724A7491"/>
    <w:lvl w:ilvl="0">
      <w:start w:val="1"/>
      <w:numFmt w:val="bullet"/>
      <w:lvlText w:val=""/>
      <w:lvlJc w:val="left"/>
      <w:pPr>
        <w:ind w:left="42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10"/>
  </w:num>
  <w:num w:numId="4">
    <w:abstractNumId w:val="6"/>
  </w:num>
  <w:num w:numId="5">
    <w:abstractNumId w:val="11"/>
  </w:num>
  <w:num w:numId="6">
    <w:abstractNumId w:val="8"/>
  </w:num>
  <w:num w:numId="7">
    <w:abstractNumId w:val="5"/>
  </w:num>
  <w:num w:numId="8">
    <w:abstractNumId w:val="14"/>
  </w:num>
  <w:num w:numId="9">
    <w:abstractNumId w:val="2"/>
  </w:num>
  <w:num w:numId="10">
    <w:abstractNumId w:val="12"/>
  </w:num>
  <w:num w:numId="11">
    <w:abstractNumId w:val="9"/>
  </w:num>
  <w:num w:numId="12">
    <w:abstractNumId w:val="7"/>
  </w:num>
  <w:num w:numId="13">
    <w:abstractNumId w:val="4"/>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50"/>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2F1"/>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10D"/>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6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1D5"/>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9C9"/>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78"/>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56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B30"/>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6F98"/>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887"/>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457"/>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D4E"/>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87AAA"/>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5C5"/>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1912"/>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47"/>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6AA"/>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1684"/>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85D"/>
    <w:rsid w:val="009F5C3D"/>
    <w:rsid w:val="009F5D50"/>
    <w:rsid w:val="009F5D86"/>
    <w:rsid w:val="009F606B"/>
    <w:rsid w:val="009F60B9"/>
    <w:rsid w:val="009F61B2"/>
    <w:rsid w:val="009F6450"/>
    <w:rsid w:val="009F65C3"/>
    <w:rsid w:val="009F6841"/>
    <w:rsid w:val="009F7D0B"/>
    <w:rsid w:val="009F7DC6"/>
    <w:rsid w:val="00A001F5"/>
    <w:rsid w:val="00A00714"/>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298"/>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7C9"/>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C84"/>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4E6"/>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AB"/>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E7E08"/>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8DE"/>
    <w:rsid w:val="00D949C7"/>
    <w:rsid w:val="00D94D77"/>
    <w:rsid w:val="00D94E69"/>
    <w:rsid w:val="00D950CB"/>
    <w:rsid w:val="00D952E4"/>
    <w:rsid w:val="00D95624"/>
    <w:rsid w:val="00D9565E"/>
    <w:rsid w:val="00D956D4"/>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7B0"/>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B80"/>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01"/>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479"/>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15179"/>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06256E"/>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964D08"/>
    <w:rsid w:val="21A61743"/>
    <w:rsid w:val="21AE0533"/>
    <w:rsid w:val="21B5378E"/>
    <w:rsid w:val="21CE6894"/>
    <w:rsid w:val="21D66EB2"/>
    <w:rsid w:val="21D677FD"/>
    <w:rsid w:val="21E359B2"/>
    <w:rsid w:val="22011200"/>
    <w:rsid w:val="22067AB1"/>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3D77C2"/>
    <w:rsid w:val="2D4957EB"/>
    <w:rsid w:val="2D4F527C"/>
    <w:rsid w:val="2D5233D5"/>
    <w:rsid w:val="2D64342C"/>
    <w:rsid w:val="2D644C4A"/>
    <w:rsid w:val="2D810A54"/>
    <w:rsid w:val="2D880A3C"/>
    <w:rsid w:val="2D914D1C"/>
    <w:rsid w:val="2DA17515"/>
    <w:rsid w:val="2DA64F75"/>
    <w:rsid w:val="2DAE5715"/>
    <w:rsid w:val="2DCE3801"/>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8E4694"/>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C61BF7"/>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C3A00"/>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84DF9"/>
    <w:rsid w:val="7CF27393"/>
    <w:rsid w:val="7CF56037"/>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5A1F30-5B2D-4D8B-9BD6-39217769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
    <w:name w:val="heading 1"/>
    <w:basedOn w:val="a2"/>
    <w:next w:val="a2"/>
    <w:link w:val="1Char"/>
    <w:qFormat/>
    <w:pPr>
      <w:keepNext/>
      <w:keepLines/>
      <w:numPr>
        <w:numId w:val="1"/>
      </w:numPr>
      <w:pBdr>
        <w:top w:val="single" w:sz="12" w:space="3" w:color="auto"/>
      </w:pBdr>
      <w:spacing w:before="240"/>
      <w:outlineLvl w:val="0"/>
    </w:pPr>
    <w:rPr>
      <w:rFonts w:ascii="Arial" w:eastAsia="Malgun Gothic" w:hAnsi="Arial"/>
      <w:sz w:val="32"/>
    </w:rPr>
  </w:style>
  <w:style w:type="paragraph" w:styleId="2">
    <w:name w:val="heading 2"/>
    <w:basedOn w:val="1"/>
    <w:next w:val="a2"/>
    <w:link w:val="2Char"/>
    <w:qFormat/>
    <w:pPr>
      <w:numPr>
        <w:ilvl w:val="1"/>
      </w:numPr>
      <w:pBdr>
        <w:top w:val="none" w:sz="0" w:space="0" w:color="auto"/>
      </w:pBdr>
      <w:spacing w:before="180"/>
      <w:ind w:leftChars="100" w:left="734" w:rightChars="100" w:right="100"/>
      <w:outlineLvl w:val="1"/>
    </w:pPr>
    <w:rPr>
      <w:sz w:val="28"/>
    </w:rPr>
  </w:style>
  <w:style w:type="paragraph" w:styleId="3">
    <w:name w:val="heading 3"/>
    <w:basedOn w:val="2"/>
    <w:next w:val="a2"/>
    <w:link w:val="3Char"/>
    <w:qFormat/>
    <w:pPr>
      <w:numPr>
        <w:ilvl w:val="2"/>
      </w:numPr>
      <w:spacing w:before="120"/>
      <w:ind w:leftChars="0" w:left="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2"/>
    <w:qFormat/>
    <w:pPr>
      <w:ind w:left="851"/>
    </w:p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spacing w:before="0"/>
      <w:ind w:left="851" w:hanging="851"/>
    </w:pPr>
    <w:rPr>
      <w:sz w:val="20"/>
    </w:rPr>
  </w:style>
  <w:style w:type="paragraph" w:styleId="10">
    <w:name w:val="toc 1"/>
    <w:basedOn w:val="a2"/>
    <w:next w:val="a2"/>
    <w:semiHidden/>
    <w:qFormat/>
    <w:pPr>
      <w:keepNext/>
      <w:keepLines/>
      <w:widowControl w:val="0"/>
      <w:tabs>
        <w:tab w:val="right" w:leader="dot" w:pos="9639"/>
      </w:tabs>
      <w:spacing w:before="120"/>
      <w:ind w:left="567" w:right="425" w:hanging="567"/>
    </w:pPr>
    <w:rPr>
      <w:sz w:val="22"/>
    </w:rPr>
  </w:style>
  <w:style w:type="paragraph" w:styleId="41">
    <w:name w:val="List Bullet 4"/>
    <w:basedOn w:val="a2"/>
    <w:qFormat/>
    <w:pPr>
      <w:numPr>
        <w:numId w:val="2"/>
      </w:numPr>
      <w:tabs>
        <w:tab w:val="clear" w:pos="1418"/>
        <w:tab w:val="left" w:pos="1600"/>
      </w:tabs>
      <w:ind w:left="1543"/>
    </w:pPr>
  </w:style>
  <w:style w:type="paragraph" w:styleId="a1">
    <w:name w:val="List Number"/>
    <w:basedOn w:val="a6"/>
    <w:qFormat/>
    <w:pPr>
      <w:numPr>
        <w:numId w:val="3"/>
      </w:numPr>
    </w:pPr>
  </w:style>
  <w:style w:type="paragraph" w:styleId="a6">
    <w:name w:val="List"/>
    <w:basedOn w:val="a2"/>
    <w:link w:val="Char"/>
    <w:qFormat/>
    <w:pPr>
      <w:ind w:left="704" w:hanging="420"/>
    </w:pPr>
  </w:style>
  <w:style w:type="paragraph" w:styleId="a7">
    <w:name w:val="Normal Indent"/>
    <w:basedOn w:val="a2"/>
    <w:qFormat/>
    <w:pPr>
      <w:ind w:firstLineChars="200" w:firstLine="420"/>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Char0"/>
    <w:qFormat/>
  </w:style>
  <w:style w:type="paragraph" w:styleId="ac">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d">
    <w:name w:val="Balloon Text"/>
    <w:basedOn w:val="a2"/>
    <w:semiHidden/>
    <w:qFormat/>
    <w:rPr>
      <w:rFonts w:ascii="Tahoma" w:hAnsi="Tahoma" w:cs="Tahoma"/>
      <w:sz w:val="16"/>
      <w:szCs w:val="16"/>
    </w:rPr>
  </w:style>
  <w:style w:type="paragraph" w:styleId="ae">
    <w:name w:val="footer"/>
    <w:basedOn w:val="af"/>
    <w:qFormat/>
    <w:pPr>
      <w:jc w:val="center"/>
    </w:pPr>
    <w:rPr>
      <w:i/>
    </w:rPr>
  </w:style>
  <w:style w:type="paragraph" w:styleId="af">
    <w:name w:val="header"/>
    <w:basedOn w:val="a2"/>
    <w:link w:val="Char2"/>
    <w:uiPriority w:val="99"/>
    <w:qFormat/>
    <w:pPr>
      <w:widowControl w:val="0"/>
    </w:pPr>
    <w:rPr>
      <w:rFonts w:ascii="Arial" w:eastAsia="Malgun Gothic" w:hAnsi="Arial"/>
      <w:b/>
      <w:sz w:val="18"/>
    </w:rPr>
  </w:style>
  <w:style w:type="paragraph" w:styleId="af0">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af1">
    <w:name w:val="table of figures"/>
    <w:basedOn w:val="ac"/>
    <w:next w:val="a2"/>
    <w:uiPriority w:val="99"/>
    <w:qFormat/>
    <w:pPr>
      <w:tabs>
        <w:tab w:val="left" w:pos="811"/>
      </w:tabs>
      <w:spacing w:before="60"/>
      <w:ind w:left="811" w:hanging="811"/>
    </w:pPr>
  </w:style>
  <w:style w:type="paragraph" w:styleId="90">
    <w:name w:val="toc 9"/>
    <w:basedOn w:val="80"/>
    <w:next w:val="a2"/>
    <w:semiHidden/>
    <w:qFormat/>
    <w:pPr>
      <w:ind w:left="1418" w:hanging="1418"/>
    </w:pPr>
  </w:style>
  <w:style w:type="paragraph" w:styleId="af2">
    <w:name w:val="Normal (Web)"/>
    <w:basedOn w:val="a2"/>
    <w:uiPriority w:val="99"/>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5">
    <w:name w:val="Strong"/>
    <w:qFormat/>
    <w:rPr>
      <w:b/>
    </w:rPr>
  </w:style>
  <w:style w:type="character" w:styleId="af6">
    <w:name w:val="FollowedHyperlink"/>
    <w:qFormat/>
    <w:rPr>
      <w:color w:val="800080"/>
      <w:u w:val="single"/>
    </w:rPr>
  </w:style>
  <w:style w:type="character" w:styleId="af7">
    <w:name w:val="Emphasis"/>
    <w:basedOn w:val="a3"/>
    <w:qFormat/>
    <w:rPr>
      <w:i/>
    </w:rPr>
  </w:style>
  <w:style w:type="character" w:styleId="af8">
    <w:name w:val="Hyperlink"/>
    <w:qFormat/>
    <w:rPr>
      <w:color w:val="0000FF"/>
      <w:u w:val="single"/>
    </w:rPr>
  </w:style>
  <w:style w:type="character" w:styleId="af9">
    <w:name w:val="annotation reference"/>
    <w:qFormat/>
    <w:rPr>
      <w:sz w:val="16"/>
    </w:rPr>
  </w:style>
  <w:style w:type="character" w:styleId="afa">
    <w:name w:val="footnote reference"/>
    <w:semiHidden/>
    <w:qFormat/>
    <w:rPr>
      <w:b/>
      <w:position w:val="6"/>
      <w:sz w:val="16"/>
    </w:rPr>
  </w:style>
  <w:style w:type="paragraph" w:customStyle="1" w:styleId="EW">
    <w:name w:val="EW"/>
    <w:basedOn w:val="EX"/>
    <w:qFormat/>
    <w:pPr>
      <w:spacing w:after="0"/>
    </w:pPr>
  </w:style>
  <w:style w:type="paragraph" w:customStyle="1" w:styleId="EX">
    <w:name w:val="EX"/>
    <w:basedOn w:val="a2"/>
    <w:qFormat/>
    <w:pPr>
      <w:keepLines/>
      <w:ind w:left="1702" w:hanging="1418"/>
    </w:pPr>
  </w:style>
  <w:style w:type="paragraph" w:customStyle="1" w:styleId="B5">
    <w:name w:val="B5"/>
    <w:basedOn w:val="51"/>
    <w:qFormat/>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20">
    <w:name w:val="编号2"/>
    <w:basedOn w:val="a2"/>
    <w:qFormat/>
    <w:pPr>
      <w:numPr>
        <w:numId w:val="4"/>
      </w:numPr>
      <w:tabs>
        <w:tab w:val="clear" w:pos="840"/>
        <w:tab w:val="left" w:pos="704"/>
      </w:tabs>
      <w:ind w:left="704" w:hanging="420"/>
    </w:pPr>
    <w:rPr>
      <w:lang w:eastAsia="zh-CN"/>
    </w:rPr>
  </w:style>
  <w:style w:type="paragraph" w:customStyle="1" w:styleId="PatentNumbering">
    <w:name w:val="Patent Numbering"/>
    <w:basedOn w:val="a2"/>
    <w:qFormat/>
    <w:pPr>
      <w:numPr>
        <w:numId w:val="5"/>
      </w:numPr>
      <w:spacing w:before="120" w:after="120" w:line="360" w:lineRule="auto"/>
      <w:jc w:val="both"/>
    </w:pPr>
    <w:rPr>
      <w:sz w:val="24"/>
      <w:lang w:val="en-US"/>
    </w:rPr>
  </w:style>
  <w:style w:type="paragraph" w:customStyle="1" w:styleId="Observation">
    <w:name w:val="Observation"/>
    <w:basedOn w:val="Proposal"/>
    <w:qFormat/>
    <w:pPr>
      <w:numPr>
        <w:numId w:val="6"/>
      </w:numPr>
      <w:ind w:left="1701" w:hanging="1701"/>
    </w:pPr>
  </w:style>
  <w:style w:type="paragraph" w:customStyle="1" w:styleId="Proposal">
    <w:name w:val="Proposal"/>
    <w:basedOn w:val="ac"/>
    <w:next w:val="a2"/>
    <w:qFormat/>
    <w:pPr>
      <w:numPr>
        <w:numId w:val="7"/>
      </w:numPr>
      <w:tabs>
        <w:tab w:val="left" w:pos="1701"/>
      </w:tabs>
    </w:pPr>
    <w:rPr>
      <w:b/>
      <w:bCs/>
    </w:rPr>
  </w:style>
  <w:style w:type="paragraph" w:customStyle="1" w:styleId="CharChar">
    <w:name w:val="Char Char"/>
    <w:semiHidden/>
    <w:qFormat/>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tdoc-header">
    <w:name w:val="tdoc-header"/>
    <w:qFormat/>
    <w:rPr>
      <w:rFonts w:ascii="Arial" w:eastAsia="Malgun Gothic" w:hAnsi="Arial"/>
      <w:sz w:val="2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Doc-title">
    <w:name w:val="Doc-title"/>
    <w:basedOn w:val="a2"/>
    <w:next w:val="Doc-text2"/>
    <w:qFormat/>
    <w:pPr>
      <w:spacing w:before="60"/>
      <w:ind w:left="1259" w:hanging="1259"/>
    </w:p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paragraph" w:customStyle="1" w:styleId="40">
    <w:name w:val="标题4"/>
    <w:basedOn w:val="a2"/>
    <w:qFormat/>
    <w:pPr>
      <w:numPr>
        <w:numId w:val="9"/>
      </w:numPr>
    </w:pPr>
  </w:style>
  <w:style w:type="paragraph" w:customStyle="1" w:styleId="B7">
    <w:name w:val="B7"/>
    <w:basedOn w:val="B6"/>
    <w:qFormat/>
    <w:pPr>
      <w:ind w:left="2269"/>
    </w:pPr>
  </w:style>
  <w:style w:type="paragraph" w:customStyle="1" w:styleId="B6">
    <w:name w:val="B6"/>
    <w:basedOn w:val="B5"/>
    <w:qFormat/>
    <w:pPr>
      <w:overflowPunct w:val="0"/>
      <w:autoSpaceDE w:val="0"/>
      <w:autoSpaceDN w:val="0"/>
      <w:adjustRightInd w:val="0"/>
      <w:ind w:left="1985"/>
      <w:textAlignment w:val="baseline"/>
    </w:pPr>
    <w:rPr>
      <w:rFonts w:eastAsia="MS Mincho"/>
      <w:lang w:eastAsia="ja-JP"/>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afb">
    <w:name w:val="图表标题"/>
    <w:basedOn w:val="a2"/>
    <w:next w:val="a2"/>
    <w:qFormat/>
    <w:pPr>
      <w:spacing w:before="60" w:after="60"/>
      <w:jc w:val="center"/>
    </w:pPr>
    <w:rPr>
      <w:rFonts w:ascii="Arial" w:eastAsia="Batang" w:hAnsi="Arial" w:cs="宋体"/>
    </w:rPr>
  </w:style>
  <w:style w:type="paragraph" w:customStyle="1" w:styleId="TAH">
    <w:name w:val="TAH"/>
    <w:basedOn w:val="TAC"/>
    <w:link w:val="TAHCar"/>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Style78">
    <w:name w:val="_Style 78"/>
    <w:uiPriority w:val="99"/>
    <w:semiHidden/>
    <w:qFormat/>
    <w:rPr>
      <w:lang w:val="en-GB" w:eastAsia="en-US"/>
    </w:rPr>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FP">
    <w:name w:val="FP"/>
    <w:basedOn w:val="a2"/>
    <w:qFormat/>
    <w:pPr>
      <w:spacing w:after="0"/>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TAR">
    <w:name w:val="TAR"/>
    <w:basedOn w:val="TAL"/>
    <w:qFormat/>
    <w:pPr>
      <w:jc w:val="right"/>
    </w:pPr>
  </w:style>
  <w:style w:type="paragraph" w:customStyle="1" w:styleId="CRCoverPage">
    <w:name w:val="CR Cover Page"/>
    <w:qFormat/>
    <w:pPr>
      <w:spacing w:after="120"/>
    </w:pPr>
    <w:rPr>
      <w:rFonts w:ascii="Arial" w:eastAsia="Malgun Gothic" w:hAnsi="Arial"/>
      <w:lang w:val="en-GB" w:eastAsia="en-US"/>
    </w:rPr>
  </w:style>
  <w:style w:type="paragraph" w:customStyle="1" w:styleId="B4">
    <w:name w:val="B4"/>
    <w:basedOn w:val="43"/>
    <w:link w:val="B4Char"/>
    <w:qFormat/>
  </w:style>
  <w:style w:type="paragraph" w:customStyle="1" w:styleId="MSMincho">
    <w:name w:val="样式 列表 + (西文) MS Mincho"/>
    <w:basedOn w:val="a6"/>
    <w:link w:val="MSMinchoChar"/>
    <w:qFormat/>
  </w:style>
  <w:style w:type="paragraph" w:customStyle="1" w:styleId="3GPPAgreements">
    <w:name w:val="3GPP Agreements"/>
    <w:basedOn w:val="a2"/>
    <w:link w:val="3GPPAgreementsChar"/>
    <w:qFormat/>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
    <w:name w:val="Char Char Char Char Char Char Char Char Char Char Char Char Char Char"/>
    <w:basedOn w:val="aa"/>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afc">
    <w:name w:val="样式 图表标题 + (中文) 宋体"/>
    <w:basedOn w:val="afb"/>
    <w:qFormat/>
    <w:rPr>
      <w:rFonts w:eastAsia="Arial"/>
    </w:rPr>
  </w:style>
  <w:style w:type="paragraph" w:customStyle="1" w:styleId="TAN">
    <w:name w:val="TAN"/>
    <w:basedOn w:val="TAL"/>
    <w:qFormat/>
    <w:pPr>
      <w:ind w:left="851" w:hanging="851"/>
    </w:pPr>
  </w:style>
  <w:style w:type="paragraph" w:customStyle="1" w:styleId="00BodyText">
    <w:name w:val="00 BodyText"/>
    <w:basedOn w:val="a2"/>
    <w:qFormat/>
    <w:pPr>
      <w:spacing w:after="220"/>
    </w:pPr>
    <w:rPr>
      <w:rFonts w:ascii="Arial" w:hAnsi="Arial"/>
      <w:sz w:val="22"/>
      <w:lang w:val="en-US"/>
    </w:rPr>
  </w:style>
  <w:style w:type="paragraph" w:customStyle="1" w:styleId="a0">
    <w:name w:val="表格题注"/>
    <w:basedOn w:val="a2"/>
    <w:qFormat/>
    <w:pPr>
      <w:numPr>
        <w:ilvl w:val="8"/>
        <w:numId w:val="1"/>
      </w:numPr>
    </w:pPr>
  </w:style>
  <w:style w:type="paragraph" w:customStyle="1" w:styleId="d2035">
    <w:name w:val="样式 正文缩进d + 首行缩进:  2 字符 段前: 0.35 行"/>
    <w:basedOn w:val="a7"/>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NormalArial">
    <w:name w:val="Normal + Arial"/>
    <w:basedOn w:val="a2"/>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afd">
    <w:name w:val="List Paragraph"/>
    <w:basedOn w:val="a2"/>
    <w:link w:val="Char3"/>
    <w:uiPriority w:val="34"/>
    <w:qFormat/>
    <w:pPr>
      <w:spacing w:after="0"/>
      <w:ind w:firstLineChars="200" w:firstLine="420"/>
    </w:pPr>
    <w:rPr>
      <w:sz w:val="24"/>
      <w:szCs w:val="24"/>
      <w:lang w:val="en-US" w:eastAsia="zh-CN"/>
    </w:rPr>
  </w:style>
  <w:style w:type="paragraph" w:customStyle="1" w:styleId="a">
    <w:name w:val="插图题注"/>
    <w:basedOn w:val="a2"/>
    <w:qFormat/>
    <w:pPr>
      <w:numPr>
        <w:ilvl w:val="7"/>
        <w:numId w:val="1"/>
      </w:numPr>
    </w:pPr>
  </w:style>
  <w:style w:type="paragraph" w:customStyle="1" w:styleId="Agreement">
    <w:name w:val="Agreement"/>
    <w:basedOn w:val="a2"/>
    <w:next w:val="Doc-text2"/>
    <w:qFormat/>
    <w:pPr>
      <w:numPr>
        <w:numId w:val="10"/>
      </w:numPr>
      <w:spacing w:after="0"/>
    </w:pPr>
    <w:rPr>
      <w:rFonts w:eastAsia="MS Mincho"/>
      <w:b/>
      <w:szCs w:val="24"/>
      <w:lang w:eastAsia="en-GB"/>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references">
    <w:name w:val="references"/>
    <w:uiPriority w:val="99"/>
    <w:qFormat/>
    <w:pPr>
      <w:numPr>
        <w:numId w:val="11"/>
      </w:numPr>
      <w:spacing w:after="50" w:line="180" w:lineRule="exact"/>
      <w:jc w:val="both"/>
    </w:pPr>
    <w:rPr>
      <w:rFonts w:eastAsia="Malgun Gothic"/>
      <w:sz w:val="16"/>
      <w:szCs w:val="16"/>
      <w:lang w:eastAsia="en-US"/>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MTDisplayEquation">
    <w:name w:val="MTDisplayEquation"/>
    <w:basedOn w:val="a2"/>
    <w:qFormat/>
    <w:pPr>
      <w:tabs>
        <w:tab w:val="center" w:pos="4820"/>
        <w:tab w:val="right" w:pos="9640"/>
      </w:tabs>
    </w:pPr>
    <w:rPr>
      <w:lang w:val="en-US"/>
    </w:rPr>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sz w:val="22"/>
      <w:lang w:val="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tAppBody">
    <w:name w:val="PatApp Body"/>
    <w:basedOn w:val="a2"/>
    <w:qFormat/>
    <w:pPr>
      <w:tabs>
        <w:tab w:val="left" w:pos="1080"/>
      </w:tabs>
      <w:spacing w:line="480" w:lineRule="auto"/>
    </w:pPr>
    <w:rPr>
      <w:sz w:val="24"/>
    </w:rPr>
  </w:style>
  <w:style w:type="paragraph" w:customStyle="1" w:styleId="Comments">
    <w:name w:val="Comments"/>
    <w:basedOn w:val="a2"/>
    <w:link w:val="CommentsChar"/>
    <w:qFormat/>
    <w:pPr>
      <w:spacing w:before="40" w:after="0"/>
    </w:pPr>
    <w:rPr>
      <w:rFonts w:ascii="Arial" w:eastAsia="MS Mincho" w:hAnsi="Arial"/>
      <w:i/>
      <w:sz w:val="18"/>
      <w:szCs w:val="24"/>
      <w:lang w:eastAsia="en-GB"/>
    </w:rPr>
  </w:style>
  <w:style w:type="paragraph" w:customStyle="1" w:styleId="12">
    <w:name w:val="样式1"/>
    <w:basedOn w:val="a2"/>
    <w:qFormat/>
  </w:style>
  <w:style w:type="paragraph" w:customStyle="1" w:styleId="EQ">
    <w:name w:val="EQ"/>
    <w:basedOn w:val="a2"/>
    <w:next w:val="a2"/>
    <w:qFormat/>
    <w:pPr>
      <w:keepLines/>
      <w:tabs>
        <w:tab w:val="center" w:pos="4536"/>
        <w:tab w:val="right" w:pos="9072"/>
      </w:tabs>
    </w:pPr>
  </w:style>
  <w:style w:type="paragraph" w:customStyle="1" w:styleId="B1">
    <w:name w:val="B1"/>
    <w:basedOn w:val="a6"/>
    <w:link w:val="B1Char1"/>
    <w:qFormat/>
    <w:pPr>
      <w:ind w:left="568" w:hanging="284"/>
    </w:pPr>
    <w:rPr>
      <w:rFonts w:eastAsia="MS Mincho"/>
      <w:lang w:eastAsia="ja-JP"/>
    </w:rPr>
  </w:style>
  <w:style w:type="paragraph" w:customStyle="1" w:styleId="13">
    <w:name w:val="列出段落1"/>
    <w:basedOn w:val="a2"/>
    <w:uiPriority w:val="34"/>
    <w:qFormat/>
    <w:pPr>
      <w:widowControl w:val="0"/>
      <w:spacing w:after="0"/>
      <w:ind w:left="720"/>
    </w:pPr>
    <w:rPr>
      <w:rFonts w:ascii="Calibri" w:hAnsi="Calibri" w:cs="Calibri"/>
      <w:kern w:val="2"/>
      <w:sz w:val="21"/>
      <w:szCs w:val="24"/>
      <w:lang w:val="en-US" w:eastAsia="zh-CN"/>
    </w:rPr>
  </w:style>
  <w:style w:type="paragraph" w:customStyle="1" w:styleId="Reference">
    <w:name w:val="Reference"/>
    <w:basedOn w:val="a2"/>
    <w:qFormat/>
    <w:pPr>
      <w:numPr>
        <w:numId w:val="12"/>
      </w:numPr>
      <w:overflowPunct w:val="0"/>
      <w:autoSpaceDE w:val="0"/>
      <w:autoSpaceDN w:val="0"/>
      <w:adjustRightInd w:val="0"/>
      <w:spacing w:after="120"/>
      <w:textAlignment w:val="baseline"/>
    </w:pPr>
    <w:rPr>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paragraph" w:customStyle="1" w:styleId="EditorsNote">
    <w:name w:val="Editor's Note"/>
    <w:basedOn w:val="NO"/>
    <w:link w:val="EditorsNoteChar"/>
    <w:qFormat/>
    <w:rPr>
      <w:color w:val="FF0000"/>
    </w:r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B3">
    <w:name w:val="B3"/>
    <w:basedOn w:val="30"/>
    <w:qFormat/>
  </w:style>
  <w:style w:type="character" w:customStyle="1" w:styleId="afe">
    <w:name w:val="样式 宋体 蓝色"/>
    <w:qFormat/>
    <w:rPr>
      <w:rFonts w:ascii="Times New Roman" w:eastAsia="宋体" w:hAnsi="Times New Roman"/>
      <w:color w:val="0000FF"/>
    </w:rPr>
  </w:style>
  <w:style w:type="character" w:customStyle="1" w:styleId="TFChar">
    <w:name w:val="TF Char"/>
    <w:link w:val="TF"/>
    <w:qFormat/>
    <w:rPr>
      <w:rFonts w:ascii="Arial" w:eastAsia="宋体" w:hAnsi="Arial"/>
      <w:b/>
      <w:lang w:val="en-GB" w:eastAsia="en-US"/>
    </w:rPr>
  </w:style>
  <w:style w:type="character" w:customStyle="1" w:styleId="NOZchn">
    <w:name w:val="NO Zchn"/>
    <w:qFormat/>
  </w:style>
  <w:style w:type="character" w:customStyle="1" w:styleId="ZGSM">
    <w:name w:val="ZGSM"/>
    <w:qFormat/>
  </w:style>
  <w:style w:type="character" w:customStyle="1" w:styleId="EditorsNoteChar">
    <w:name w:val="Editor's Note Char"/>
    <w:link w:val="EditorsNote"/>
    <w:qFormat/>
    <w:rPr>
      <w:color w:val="FF0000"/>
      <w:lang w:val="en-GB" w:eastAsia="en-US" w:bidi="ar-SA"/>
    </w:rPr>
  </w:style>
  <w:style w:type="character" w:customStyle="1" w:styleId="THChar">
    <w:name w:val="TH Char"/>
    <w:link w:val="TH"/>
    <w:qFormat/>
    <w:rPr>
      <w:rFonts w:ascii="Arial" w:eastAsia="宋体" w:hAnsi="Arial"/>
      <w:b/>
      <w:lang w:val="en-GB" w:eastAsia="en-US" w:bidi="ar-SA"/>
    </w:rPr>
  </w:style>
  <w:style w:type="character" w:customStyle="1" w:styleId="Char">
    <w:name w:val="列表 Char"/>
    <w:link w:val="a6"/>
    <w:qFormat/>
    <w:rPr>
      <w:rFonts w:eastAsia="宋体"/>
      <w:lang w:val="en-GB" w:eastAsia="en-US" w:bidi="ar-SA"/>
    </w:rPr>
  </w:style>
  <w:style w:type="character" w:customStyle="1" w:styleId="Char2">
    <w:name w:val="页眉 Char"/>
    <w:link w:val="af"/>
    <w:uiPriority w:val="99"/>
    <w:qFormat/>
    <w:rPr>
      <w:rFonts w:ascii="Arial" w:hAnsi="Arial"/>
      <w:b/>
      <w:sz w:val="18"/>
      <w:lang w:val="en-GB" w:eastAsia="en-US" w:bidi="ar-SA"/>
    </w:rPr>
  </w:style>
  <w:style w:type="character" w:customStyle="1" w:styleId="yinbiao">
    <w:name w:val="yinbiao"/>
    <w:basedOn w:val="a3"/>
    <w:qFormat/>
  </w:style>
  <w:style w:type="character" w:customStyle="1" w:styleId="B4Char">
    <w:name w:val="B4 Char"/>
    <w:link w:val="B4"/>
    <w:qFormat/>
    <w:rPr>
      <w:lang w:val="en-GB" w:eastAsia="en-US" w:bidi="ar-SA"/>
    </w:rPr>
  </w:style>
  <w:style w:type="character" w:customStyle="1" w:styleId="Doc-text2Char">
    <w:name w:val="Doc-text2 Char"/>
    <w:link w:val="Doc-text2"/>
    <w:qFormat/>
    <w:rPr>
      <w:rFonts w:ascii="Arial" w:hAnsi="Arial"/>
      <w:szCs w:val="24"/>
      <w:lang w:val="en-GB" w:eastAsia="en-GB"/>
    </w:rPr>
  </w:style>
  <w:style w:type="character" w:customStyle="1" w:styleId="MSMinchoChar">
    <w:name w:val="样式 列表 + (西文) MS Mincho Char"/>
    <w:basedOn w:val="Char"/>
    <w:link w:val="MSMincho"/>
    <w:qFormat/>
    <w:rPr>
      <w:rFonts w:eastAsia="宋体"/>
      <w:lang w:val="en-GB" w:eastAsia="en-US" w:bidi="ar-SA"/>
    </w:rPr>
  </w:style>
  <w:style w:type="character" w:customStyle="1" w:styleId="TAHChar">
    <w:name w:val="TAH Char"/>
    <w:qFormat/>
    <w:rPr>
      <w:rFonts w:ascii="Arial" w:hAnsi="Arial"/>
      <w:b/>
      <w:sz w:val="18"/>
    </w:rPr>
  </w:style>
  <w:style w:type="character" w:customStyle="1" w:styleId="CommentsChar">
    <w:name w:val="Comments Char"/>
    <w:link w:val="Comments"/>
    <w:qFormat/>
    <w:rPr>
      <w:rFonts w:ascii="Arial" w:hAnsi="Arial"/>
      <w:i/>
      <w:sz w:val="18"/>
      <w:szCs w:val="24"/>
      <w:lang w:val="en-GB" w:eastAsia="en-GB"/>
    </w:rPr>
  </w:style>
  <w:style w:type="character" w:customStyle="1" w:styleId="Char1">
    <w:name w:val="正文文本 Char"/>
    <w:link w:val="ac"/>
    <w:qFormat/>
    <w:rPr>
      <w:lang w:val="en-GB" w:eastAsia="en-US"/>
    </w:rPr>
  </w:style>
  <w:style w:type="character" w:customStyle="1" w:styleId="TALChar">
    <w:name w:val="TAL Char"/>
    <w:qFormat/>
    <w:rPr>
      <w:rFonts w:ascii="Arial" w:eastAsia="宋体" w:hAnsi="Arial"/>
      <w:sz w:val="18"/>
      <w:lang w:val="en-GB" w:eastAsia="en-GB"/>
    </w:rPr>
  </w:style>
  <w:style w:type="character" w:customStyle="1" w:styleId="msoins0">
    <w:name w:val="msoins"/>
    <w:qFormat/>
  </w:style>
  <w:style w:type="character" w:customStyle="1" w:styleId="TAHCar">
    <w:name w:val="TAH Car"/>
    <w:link w:val="TAH"/>
    <w:qFormat/>
    <w:locked/>
    <w:rPr>
      <w:rFonts w:ascii="Arial" w:eastAsia="宋体" w:hAnsi="Arial"/>
      <w:b/>
      <w:sz w:val="18"/>
      <w:lang w:val="en-GB" w:eastAsia="en-US"/>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character" w:customStyle="1" w:styleId="TACChar">
    <w:name w:val="TAC Char"/>
    <w:link w:val="TAC"/>
    <w:qFormat/>
    <w:locked/>
    <w:rPr>
      <w:rFonts w:ascii="Arial" w:eastAsia="宋体" w:hAnsi="Arial"/>
      <w:sz w:val="18"/>
      <w:lang w:val="en-GB" w:eastAsia="en-US"/>
    </w:rPr>
  </w:style>
  <w:style w:type="character" w:customStyle="1" w:styleId="TALCar">
    <w:name w:val="TAL Car"/>
    <w:link w:val="TAL"/>
    <w:qFormat/>
    <w:rPr>
      <w:rFonts w:ascii="Arial" w:hAnsi="Arial"/>
      <w:sz w:val="18"/>
      <w:lang w:val="en-GB" w:eastAsia="en-US" w:bidi="ar-SA"/>
    </w:rPr>
  </w:style>
  <w:style w:type="character" w:customStyle="1" w:styleId="NOChar">
    <w:name w:val="NO Char"/>
    <w:link w:val="NO"/>
    <w:qFormat/>
    <w:rPr>
      <w:lang w:val="en-GB" w:eastAsia="en-US" w:bidi="ar-SA"/>
    </w:rPr>
  </w:style>
  <w:style w:type="character" w:customStyle="1" w:styleId="B2Car">
    <w:name w:val="B2 Car"/>
    <w:qFormat/>
    <w:rPr>
      <w:rFonts w:eastAsia="Times New Roman"/>
    </w:rPr>
  </w:style>
  <w:style w:type="character" w:customStyle="1" w:styleId="Char3">
    <w:name w:val="列出段落 Char"/>
    <w:link w:val="afd"/>
    <w:uiPriority w:val="34"/>
    <w:qFormat/>
    <w:rPr>
      <w:rFonts w:eastAsia="宋体"/>
      <w:sz w:val="24"/>
      <w:szCs w:val="24"/>
    </w:rPr>
  </w:style>
  <w:style w:type="character" w:customStyle="1" w:styleId="1Char">
    <w:name w:val="标题 1 Char"/>
    <w:link w:val="1"/>
    <w:qFormat/>
    <w:rPr>
      <w:rFonts w:ascii="Arial" w:hAnsi="Arial"/>
      <w:sz w:val="32"/>
      <w:lang w:val="en-GB" w:eastAsia="en-US"/>
    </w:rPr>
  </w:style>
  <w:style w:type="character" w:customStyle="1" w:styleId="3Char">
    <w:name w:val="标题 3 Char"/>
    <w:link w:val="3"/>
    <w:qFormat/>
    <w:rPr>
      <w:sz w:val="24"/>
    </w:rPr>
  </w:style>
  <w:style w:type="character" w:customStyle="1" w:styleId="3GPPTextChar">
    <w:name w:val="3GPP Text Char"/>
    <w:link w:val="3GPPText"/>
    <w:qFormat/>
    <w:rPr>
      <w:rFonts w:eastAsia="宋体"/>
      <w:sz w:val="22"/>
      <w:lang w:eastAsia="en-US"/>
    </w:rPr>
  </w:style>
  <w:style w:type="character" w:customStyle="1" w:styleId="3GPPAgreementsChar">
    <w:name w:val="3GPP Agreements Char"/>
    <w:link w:val="3GPPAgreements"/>
    <w:qFormat/>
    <w:rPr>
      <w:rFonts w:eastAsia="宋体"/>
      <w:sz w:val="22"/>
      <w:szCs w:val="22"/>
    </w:rPr>
  </w:style>
  <w:style w:type="character" w:customStyle="1" w:styleId="B2Char">
    <w:name w:val="B2 Char"/>
    <w:link w:val="B2"/>
    <w:qFormat/>
    <w:rPr>
      <w:rFonts w:eastAsia="宋体"/>
      <w:lang w:val="en-GB" w:eastAsia="ja-JP"/>
    </w:rPr>
  </w:style>
  <w:style w:type="character" w:customStyle="1" w:styleId="PLChar">
    <w:name w:val="PL Char"/>
    <w:link w:val="PL"/>
    <w:qFormat/>
    <w:rPr>
      <w:rFonts w:ascii="Courier New" w:hAnsi="Courier New"/>
      <w:sz w:val="16"/>
      <w:lang w:val="en-GB" w:eastAsia="en-US" w:bidi="ar-SA"/>
    </w:rPr>
  </w:style>
  <w:style w:type="character" w:customStyle="1" w:styleId="Char0">
    <w:name w:val="批注文字 Char"/>
    <w:link w:val="ab"/>
    <w:qFormat/>
    <w:rPr>
      <w:rFonts w:eastAsia="宋体"/>
      <w:lang w:val="en-GB" w:eastAsia="en-US"/>
    </w:rPr>
  </w:style>
  <w:style w:type="character" w:customStyle="1" w:styleId="aff">
    <w:name w:val="首标题"/>
    <w:qFormat/>
    <w:rPr>
      <w:rFonts w:ascii="Arial" w:eastAsia="宋体" w:hAnsi="Arial"/>
      <w:sz w:val="24"/>
    </w:rPr>
  </w:style>
  <w:style w:type="character" w:customStyle="1" w:styleId="B1Char1">
    <w:name w:val="B1 Char1"/>
    <w:link w:val="B1"/>
    <w:qFormat/>
    <w:rPr>
      <w:rFonts w:eastAsia="MS Mincho"/>
      <w:lang w:val="en-GB" w:eastAsia="ja-JP" w:bidi="ar-SA"/>
    </w:rPr>
  </w:style>
  <w:style w:type="character" w:customStyle="1" w:styleId="2Char">
    <w:name w:val="标题 2 Char"/>
    <w:link w:val="2"/>
    <w:qFormat/>
    <w:rPr>
      <w:rFonts w:ascii="Arial" w:hAnsi="Arial"/>
      <w:sz w:val="28"/>
      <w:lang w:val="en-GB" w:eastAsia="en-US"/>
    </w:rPr>
  </w:style>
  <w:style w:type="character" w:customStyle="1" w:styleId="B1Char">
    <w:name w:val="B1 Char"/>
    <w:qFormat/>
    <w:rPr>
      <w:lang w:val="en-GB"/>
    </w:rPr>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Default">
    <w:name w:val="Default"/>
    <w:uiPriority w:val="99"/>
    <w:unhideWhenUsed/>
    <w:qFormat/>
    <w:pPr>
      <w:widowControl w:val="0"/>
      <w:autoSpaceDE w:val="0"/>
      <w:autoSpaceDN w:val="0"/>
      <w:adjustRightInd w:val="0"/>
    </w:pPr>
    <w:rPr>
      <w:rFonts w:ascii="Calibri" w:eastAsia="Calibri" w:hAnsi="Calibri"/>
      <w:color w:val="000000"/>
      <w:sz w:val="24"/>
    </w:rPr>
  </w:style>
  <w:style w:type="paragraph" w:customStyle="1" w:styleId="14">
    <w:name w:val="正文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7</Pages>
  <Words>2448</Words>
  <Characters>13957</Characters>
  <Application>Microsoft Office Word</Application>
  <DocSecurity>0</DocSecurity>
  <Lines>116</Lines>
  <Paragraphs>32</Paragraphs>
  <ScaleCrop>false</ScaleCrop>
  <Company>ZTE</Company>
  <LinksUpToDate>false</LinksUpToDate>
  <CharactersWithSpaces>16373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27</cp:revision>
  <cp:lastPrinted>2009-04-22T01:01:00Z</cp:lastPrinted>
  <dcterms:created xsi:type="dcterms:W3CDTF">2023-02-11T14:08:00Z</dcterms:created>
  <dcterms:modified xsi:type="dcterms:W3CDTF">2023-02-17T08:18:00Z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2052-11.8.2.11019</vt:lpwstr>
  </property>
  <property fmtid="{D5CDD505-2E9C-101B-9397-08002B2CF9AE}" pid="7" name="ICV">
    <vt:lpwstr>9136084C1672475490785C6C0DEADB7E</vt:lpwstr>
  </property>
</Properties>
</file>